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pPr>
      <w:r>
        <w:rPr>
          <w:sz w:val="2"/>
          <w:szCs w:val="2"/>
        </w:rPr>
        <w:t xml:space="preserve"/>
      </w:r>
    </w:p>
    <w:p>
      <w:pPr>
        <w:spacing w:after="80" w:before="0"/>
        <w:jc w:val="center"/>
      </w:pPr>
      <w:r>
        <w:rPr>
          <w:rFonts w:ascii="Calibri" w:cs="Calibri" w:eastAsia="Calibri" w:hAnsi="Calibri"/>
          <w:b/>
          <w:bCs/>
          <w:color w:val="C9A84C"/>
          <w:spacing w:val="100"/>
          <w:sz w:val="20"/>
          <w:szCs w:val="20"/>
        </w:rPr>
        <w:t xml:space="preserve">COURSE DESIGN DOCUMENT</w:t>
      </w:r>
    </w:p>
    <w:p>
      <w:pPr>
        <w:spacing w:after="0" w:before="80"/>
      </w:pPr>
      <w:r>
        <w:rPr>
          <w:sz w:val="2"/>
          <w:szCs w:val="2"/>
        </w:rPr>
        <w:t xml:space="preserve"/>
      </w:r>
    </w:p>
    <w:p>
      <w:pPr>
        <w:spacing w:after="120" w:before="0"/>
        <w:jc w:val="center"/>
      </w:pPr>
      <w:r>
        <w:rPr>
          <w:rFonts w:ascii="Calibri" w:cs="Calibri" w:eastAsia="Calibri" w:hAnsi="Calibri"/>
          <w:b/>
          <w:bCs/>
          <w:color w:val="1B2A4A"/>
          <w:sz w:val="54"/>
          <w:szCs w:val="54"/>
        </w:rPr>
        <w:t xml:space="preserve">Data Privacy in the Financial Industry</w:t>
      </w:r>
    </w:p>
    <w:p>
      <w:pPr>
        <w:spacing w:after="640" w:before="0"/>
        <w:jc w:val="center"/>
      </w:pPr>
      <w:r>
        <w:rPr>
          <w:rFonts w:ascii="Calibri" w:cs="Calibri" w:eastAsia="Calibri" w:hAnsi="Calibri"/>
          <w:i/>
          <w:iCs/>
          <w:color w:val="64748B"/>
          <w:sz w:val="30"/>
          <w:szCs w:val="30"/>
        </w:rPr>
        <w:t xml:space="preserve">Know Your Obligations</w:t>
      </w:r>
    </w:p>
    <w:p>
      <w:pPr>
        <w:pBdr>
          <w:top w:val="single" w:color="E2E8F0" w:sz="6" w:space="8"/>
        </w:pBdr>
        <w:spacing w:after="160" w:before="0"/>
        <w:jc w:val="center"/>
      </w:pPr>
      <w:r>
        <w:rPr>
          <w:sz w:val="4"/>
          <w:szCs w:val="4"/>
        </w:rPr>
        <w:t xml:space="preserve"> </w:t>
      </w:r>
    </w:p>
    <w:p>
      <w:pPr>
        <w:spacing w:after="80" w:before="0"/>
        <w:jc w:val="center"/>
      </w:pPr>
      <w:r>
        <w:rPr>
          <w:rFonts w:ascii="Calibri" w:cs="Calibri" w:eastAsia="Calibri" w:hAnsi="Calibri"/>
          <w:color w:val="64748B"/>
          <w:sz w:val="22"/>
          <w:szCs w:val="22"/>
        </w:rPr>
        <w:t xml:space="preserve">Designed By:  </w:t>
      </w:r>
      <w:r>
        <w:rPr>
          <w:rFonts w:ascii="Calibri" w:cs="Calibri" w:eastAsia="Calibri" w:hAnsi="Calibri"/>
          <w:b/>
          <w:bCs/>
          <w:color w:val="1B2A4A"/>
          <w:sz w:val="22"/>
          <w:szCs w:val="22"/>
        </w:rPr>
        <w:t xml:space="preserve">Adam Leibler</w:t>
      </w:r>
    </w:p>
    <w:p>
      <w:pPr>
        <w:spacing w:after="80" w:before="0"/>
        <w:jc w:val="center"/>
      </w:pPr>
      <w:r>
        <w:rPr>
          <w:rFonts w:ascii="Calibri" w:cs="Calibri" w:eastAsia="Calibri" w:hAnsi="Calibri"/>
          <w:color w:val="64748B"/>
          <w:sz w:val="22"/>
          <w:szCs w:val="22"/>
        </w:rPr>
        <w:t xml:space="preserve">Version:  </w:t>
      </w:r>
      <w:r>
        <w:rPr>
          <w:rFonts w:ascii="Calibri" w:cs="Calibri" w:eastAsia="Calibri" w:hAnsi="Calibri"/>
          <w:b/>
          <w:bCs/>
          <w:color w:val="1B2A4A"/>
          <w:sz w:val="22"/>
          <w:szCs w:val="22"/>
        </w:rPr>
        <w:t xml:space="preserve">1.0</w:t>
      </w:r>
    </w:p>
    <w:p>
      <w:pPr>
        <w:spacing w:after="80" w:before="0"/>
        <w:jc w:val="center"/>
      </w:pPr>
      <w:r>
        <w:rPr>
          <w:rFonts w:ascii="Calibri" w:cs="Calibri" w:eastAsia="Calibri" w:hAnsi="Calibri"/>
          <w:color w:val="64748B"/>
          <w:sz w:val="22"/>
          <w:szCs w:val="22"/>
        </w:rPr>
        <w:t xml:space="preserve">Date:  </w:t>
      </w:r>
      <w:r>
        <w:rPr>
          <w:rFonts w:ascii="Calibri" w:cs="Calibri" w:eastAsia="Calibri" w:hAnsi="Calibri"/>
          <w:b/>
          <w:bCs/>
          <w:color w:val="1B2A4A"/>
          <w:sz w:val="22"/>
          <w:szCs w:val="22"/>
        </w:rPr>
        <w:t xml:space="preserve">March 2026</w:t>
      </w:r>
    </w:p>
    <w:p>
      <w:pPr>
        <w:spacing w:after="80" w:before="0"/>
        <w:jc w:val="center"/>
      </w:pPr>
      <w:r>
        <w:rPr>
          <w:rFonts w:ascii="Calibri" w:cs="Calibri" w:eastAsia="Calibri" w:hAnsi="Calibri"/>
          <w:color w:val="64748B"/>
          <w:sz w:val="22"/>
          <w:szCs w:val="22"/>
        </w:rPr>
        <w:t xml:space="preserve">Target Audience:  </w:t>
      </w:r>
      <w:r>
        <w:rPr>
          <w:rFonts w:ascii="Calibri" w:cs="Calibri" w:eastAsia="Calibri" w:hAnsi="Calibri"/>
          <w:b/>
          <w:bCs/>
          <w:color w:val="1B2A4A"/>
          <w:sz w:val="22"/>
          <w:szCs w:val="22"/>
        </w:rPr>
        <w:t xml:space="preserve">All Financial Services Staff</w:t>
      </w:r>
    </w:p>
    <w:p>
      <w:pPr>
        <w:spacing w:after="80" w:before="0"/>
        <w:jc w:val="center"/>
      </w:pPr>
      <w:r>
        <w:rPr>
          <w:rFonts w:ascii="Calibri" w:cs="Calibri" w:eastAsia="Calibri" w:hAnsi="Calibri"/>
          <w:color w:val="64748B"/>
          <w:sz w:val="22"/>
          <w:szCs w:val="22"/>
        </w:rPr>
        <w:t xml:space="preserve">Delivery Platform:  </w:t>
      </w:r>
      <w:r>
        <w:rPr>
          <w:rFonts w:ascii="Calibri" w:cs="Calibri" w:eastAsia="Calibri" w:hAnsi="Calibri"/>
          <w:b/>
          <w:bCs/>
          <w:color w:val="1B2A4A"/>
          <w:sz w:val="22"/>
          <w:szCs w:val="22"/>
        </w:rPr>
        <w:t xml:space="preserve">Articulate Storyline 360</w:t>
      </w:r>
    </w:p>
    <w:p>
      <w:pPr>
        <w:spacing w:after="80" w:before="0"/>
        <w:jc w:val="center"/>
      </w:pPr>
      <w:r>
        <w:rPr>
          <w:rFonts w:ascii="Calibri" w:cs="Calibri" w:eastAsia="Calibri" w:hAnsi="Calibri"/>
          <w:color w:val="64748B"/>
          <w:sz w:val="22"/>
          <w:szCs w:val="22"/>
        </w:rPr>
        <w:t xml:space="preserve">Estimated Duration:  </w:t>
      </w:r>
      <w:r>
        <w:rPr>
          <w:rFonts w:ascii="Calibri" w:cs="Calibri" w:eastAsia="Calibri" w:hAnsi="Calibri"/>
          <w:b/>
          <w:bCs/>
          <w:color w:val="1B2A4A"/>
          <w:sz w:val="22"/>
          <w:szCs w:val="22"/>
        </w:rPr>
        <w:t xml:space="preserve">12–15 Minutes</w:t>
      </w:r>
    </w:p>
    <w:p>
      <w:pPr>
        <w:spacing w:after="80" w:before="0"/>
        <w:jc w:val="center"/>
      </w:pPr>
      <w:r>
        <w:rPr>
          <w:rFonts w:ascii="Calibri" w:cs="Calibri" w:eastAsia="Calibri" w:hAnsi="Calibri"/>
          <w:color w:val="64748B"/>
          <w:sz w:val="22"/>
          <w:szCs w:val="22"/>
        </w:rPr>
        <w:t xml:space="preserve">Regulatory Framework:  </w:t>
      </w:r>
      <w:r>
        <w:rPr>
          <w:rFonts w:ascii="Calibri" w:cs="Calibri" w:eastAsia="Calibri" w:hAnsi="Calibri"/>
          <w:b/>
          <w:bCs/>
          <w:color w:val="1B2A4A"/>
          <w:sz w:val="22"/>
          <w:szCs w:val="22"/>
        </w:rPr>
        <w:t xml:space="preserve">Regulation S-P | FINRA Rule 4370</w:t>
      </w:r>
    </w:p>
    <w:p>
      <w:r>
        <w:br w:type="page"/>
      </w:r>
    </w:p>
    <w:p>
      <w:pPr>
        <w:sectPr>
          <w:headerReference w:type="default" r:id="rId7"/>
          <w:footerReference w:type="default" r:id="rId8"/>
          <w:pgSz w:w="12240" w:h="15840" w:orient="portrait"/>
          <w:pgMar w:top="1440" w:right="1440" w:bottom="1440" w:left="1440" w:header="708" w:footer="708" w:gutter="0"/>
          <w:pgNumType/>
          <w:docGrid w:linePitch="360"/>
        </w:sectPr>
      </w:pPr>
    </w:p>
    <w:p>
      <w:pPr>
        <w:spacing w:after="80" w:before="0"/>
        <w:jc w:val="center"/>
      </w:pPr>
      <w:r>
        <w:rPr>
          <w:rFonts w:ascii="Calibri" w:cs="Calibri" w:eastAsia="Calibri" w:hAnsi="Calibri"/>
          <w:b/>
          <w:bCs/>
          <w:color w:val="1B2A4A"/>
          <w:spacing w:val="80"/>
          <w:sz w:val="28"/>
          <w:szCs w:val="28"/>
        </w:rPr>
        <w:t xml:space="preserve">TABLE OF CONTENTS</w:t>
      </w:r>
    </w:p>
    <w:p>
      <w:pPr>
        <w:spacing w:after="0" w:before="80"/>
      </w:pPr>
      <w:r>
        <w:rPr>
          <w:sz w:val="2"/>
          <w:szCs w:val="2"/>
        </w:rPr>
        <w:t xml:space="preserve"/>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spacing w:after="200" w:before="360"/>
      </w:pPr>
      <w:bookmarkStart w:name="s1" w:id="1"/>
      <w:r>
        <w:t xml:space="preserve">1.  Project Overview</w:t>
      </w:r>
      <w:bookmarkEnd w:id="1"/>
    </w:p>
    <w:p>
      <w:pPr>
        <w:spacing w:after="120" w:before="0"/>
      </w:pPr>
      <w:r>
        <w:rPr>
          <w:rFonts w:ascii="Calibri" w:cs="Calibri" w:eastAsia="Calibri" w:hAnsi="Calibri"/>
          <w:color w:val="2D3748"/>
          <w:sz w:val="22"/>
          <w:szCs w:val="22"/>
        </w:rPr>
        <w:t xml:space="preserve">This document defines the full instructional design plan for Data Privacy in the Financial Industry: Know Your Obligations—an annual compliance refresher course developed for all staff at a financial services firm regulated by FINRA and the SEC. It follows the ADDIE instructional design model and documents key decisions across the Analysis, Design, and Development phases.</w:t>
      </w:r>
    </w:p>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2400"/>
        <w:gridCol w:w="6840"/>
      </w:tblGrid>
      <w:tr>
        <w:tc>
          <w:tcPr>
            <w:tcW w:type="dxa" w:w="9240"/>
            <w:gridSpan w:val="2"/>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22"/>
                <w:szCs w:val="22"/>
              </w:rPr>
              <w:t xml:space="preserve">Course Overview</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Course Title</w:t>
            </w:r>
          </w:p>
        </w:tc>
        <w:tc>
          <w:tcPr>
            <w:tcW w:type="dxa" w:w="68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Data Privacy in the Financial Industry: Know Your Obligations</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Course Code</w:t>
            </w:r>
          </w:p>
        </w:tc>
        <w:tc>
          <w:tcPr>
            <w:tcW w:type="dxa" w:w="68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COMP-DP-2026</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Target Audience</w:t>
            </w:r>
          </w:p>
        </w:tc>
        <w:tc>
          <w:tcPr>
            <w:tcW w:type="dxa" w:w="68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All Financial Services Staff (Annual Compliance Refresher)</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Regulatory Focus</w:t>
            </w:r>
          </w:p>
        </w:tc>
        <w:tc>
          <w:tcPr>
            <w:tcW w:type="dxa" w:w="68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Regulation S-P (Safeguards Rule); FINRA Rule 4370</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Estimated Duration</w:t>
            </w:r>
          </w:p>
        </w:tc>
        <w:tc>
          <w:tcPr>
            <w:tcW w:type="dxa" w:w="68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12–15 minutes</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Number of Modules</w:t>
            </w:r>
          </w:p>
        </w:tc>
        <w:tc>
          <w:tcPr>
            <w:tcW w:type="dxa" w:w="68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3 core modules + 1 knowledge check</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Delivery Platform</w:t>
            </w:r>
          </w:p>
        </w:tc>
        <w:tc>
          <w:tcPr>
            <w:tcW w:type="dxa" w:w="68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Articulate Storyline 360</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LMS Format</w:t>
            </w:r>
          </w:p>
        </w:tc>
        <w:tc>
          <w:tcPr>
            <w:tcW w:type="dxa" w:w="68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SCORM 2004</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Design Approach</w:t>
            </w:r>
          </w:p>
        </w:tc>
        <w:tc>
          <w:tcPr>
            <w:tcW w:type="dxa" w:w="68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Microlearning | Scenario-Based | ADDIE Model</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Pass Threshold</w:t>
            </w:r>
          </w:p>
        </w:tc>
        <w:tc>
          <w:tcPr>
            <w:tcW w:type="dxa" w:w="68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80% on final knowledge check (4 of 5 questions correct)</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Instructional Designer</w:t>
            </w:r>
          </w:p>
        </w:tc>
        <w:tc>
          <w:tcPr>
            <w:tcW w:type="dxa" w:w="68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Adam Leibler</w:t>
            </w:r>
          </w:p>
        </w:tc>
      </w:tr>
      <w:tr>
        <w:tc>
          <w:tcPr>
            <w:tcW w:type="dxa" w:w="2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Version</w:t>
            </w:r>
          </w:p>
        </w:tc>
        <w:tc>
          <w:tcPr>
            <w:tcW w:type="dxa" w:w="68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1.0 — March 2026</w:t>
            </w:r>
          </w:p>
        </w:tc>
      </w:tr>
    </w:tbl>
    <w:p>
      <w:r>
        <w:br w:type="page"/>
      </w:r>
    </w:p>
    <w:p>
      <w:pPr>
        <w:pStyle w:val="Heading1"/>
        <w:spacing w:after="200" w:before="360"/>
      </w:pPr>
      <w:bookmarkStart w:name="s2" w:id="1"/>
      <w:r>
        <w:t xml:space="preserve">2.  ADDIE Framework Summary</w:t>
      </w:r>
      <w:bookmarkEnd w:id="1"/>
    </w:p>
    <w:p>
      <w:pPr>
        <w:spacing w:after="120" w:before="0"/>
      </w:pPr>
      <w:r>
        <w:rPr>
          <w:rFonts w:ascii="Calibri" w:cs="Calibri" w:eastAsia="Calibri" w:hAnsi="Calibri"/>
          <w:color w:val="2D3748"/>
          <w:sz w:val="22"/>
          <w:szCs w:val="22"/>
        </w:rPr>
        <w:t xml:space="preserve">This course was built using the ADDIE instructional systems design model. The following summarizes key decisions and findings from each phase.</w:t>
      </w:r>
    </w:p>
    <w:p>
      <w:pPr>
        <w:spacing w:after="0" w:before="80"/>
      </w:pPr>
      <w:r>
        <w:rPr>
          <w:sz w:val="2"/>
          <w:szCs w:val="2"/>
        </w:rPr>
        <w:t xml:space="preserve"/>
      </w:r>
    </w:p>
    <w:p>
      <w:pPr>
        <w:pStyle w:val="Heading2"/>
        <w:spacing w:after="140" w:before="280"/>
      </w:pPr>
      <w:r>
        <w:t xml:space="preserve">Analysis</w:t>
      </w:r>
    </w:p>
    <w:p>
      <w:pPr>
        <w:spacing w:after="120" w:before="0"/>
      </w:pPr>
      <w:r>
        <w:rPr>
          <w:rFonts w:ascii="Calibri" w:cs="Calibri" w:eastAsia="Calibri" w:hAnsi="Calibri"/>
          <w:color w:val="2D3748"/>
          <w:sz w:val="22"/>
          <w:szCs w:val="22"/>
        </w:rPr>
        <w:t xml:space="preserve">The analysis phase identified the following performance gap, business need, and audience characteristics:</w:t>
      </w:r>
    </w:p>
    <w:p>
      <w:pPr>
        <w:pStyle w:val="ListParagraph"/>
        <w:numPr>
          <w:ilvl w:val="0"/>
          <w:numId w:val="2"/>
        </w:numPr>
        <w:spacing w:after="80" w:before="0"/>
      </w:pPr>
      <w:r>
        <w:rPr>
          <w:rFonts w:ascii="Calibri" w:cs="Calibri" w:eastAsia="Calibri" w:hAnsi="Calibri"/>
          <w:color w:val="2D3748"/>
          <w:sz w:val="22"/>
          <w:szCs w:val="22"/>
        </w:rPr>
        <w:t xml:space="preserve">Performance Gap: Employees may not fully understand their specific obligations under Regulation S-P and FINRA Rule 4370, or be able to reliably identify Nonpublic Personal Information (NPI) in day-to-day work situations.</w:t>
      </w:r>
    </w:p>
    <w:p>
      <w:pPr>
        <w:pStyle w:val="ListParagraph"/>
        <w:numPr>
          <w:ilvl w:val="0"/>
          <w:numId w:val="2"/>
        </w:numPr>
        <w:spacing w:after="80" w:before="0"/>
      </w:pPr>
      <w:r>
        <w:rPr>
          <w:rFonts w:ascii="Calibri" w:cs="Calibri" w:eastAsia="Calibri" w:hAnsi="Calibri"/>
          <w:color w:val="2D3748"/>
          <w:sz w:val="22"/>
          <w:szCs w:val="22"/>
        </w:rPr>
        <w:t xml:space="preserve">Business Need: Annual regulatory training is required to maintain compliance with FINRA and SEC oversight expectations. Non-compliance creates regulatory, legal, and reputational exposure.</w:t>
      </w:r>
    </w:p>
    <w:p>
      <w:pPr>
        <w:pStyle w:val="ListParagraph"/>
        <w:numPr>
          <w:ilvl w:val="0"/>
          <w:numId w:val="2"/>
        </w:numPr>
        <w:spacing w:after="80" w:before="0"/>
      </w:pPr>
      <w:r>
        <w:rPr>
          <w:rFonts w:ascii="Calibri" w:cs="Calibri" w:eastAsia="Calibri" w:hAnsi="Calibri"/>
          <w:color w:val="2D3748"/>
          <w:sz w:val="22"/>
          <w:szCs w:val="22"/>
        </w:rPr>
        <w:t xml:space="preserve">Audience Context: All staff complete this as a mandatory annual refresher. Learners have varying degrees of familiarity with compliance content and may experience training fatigue; content must be concise, relevant, and scenario-driven.</w:t>
      </w:r>
    </w:p>
    <w:p>
      <w:pPr>
        <w:pStyle w:val="ListParagraph"/>
        <w:numPr>
          <w:ilvl w:val="0"/>
          <w:numId w:val="2"/>
        </w:numPr>
        <w:spacing w:after="80" w:before="0"/>
      </w:pPr>
      <w:r>
        <w:rPr>
          <w:rFonts w:ascii="Calibri" w:cs="Calibri" w:eastAsia="Calibri" w:hAnsi="Calibri"/>
          <w:color w:val="2D3748"/>
          <w:sz w:val="22"/>
          <w:szCs w:val="22"/>
        </w:rPr>
        <w:t xml:space="preserve">Technology: Learners access training via desktop or laptop through the firm’s LMS. Tablet access is anticipated for some learners.</w:t>
      </w:r>
    </w:p>
    <w:p>
      <w:pPr>
        <w:spacing w:after="0" w:before="80"/>
      </w:pPr>
      <w:r>
        <w:rPr>
          <w:sz w:val="2"/>
          <w:szCs w:val="2"/>
        </w:rPr>
        <w:t xml:space="preserve"/>
      </w:r>
    </w:p>
    <w:p>
      <w:pPr>
        <w:pStyle w:val="Heading2"/>
        <w:spacing w:after="140" w:before="280"/>
      </w:pPr>
      <w:r>
        <w:t xml:space="preserve">Design</w:t>
      </w:r>
    </w:p>
    <w:p>
      <w:pPr>
        <w:spacing w:after="120" w:before="0"/>
      </w:pPr>
      <w:r>
        <w:rPr>
          <w:rFonts w:ascii="Calibri" w:cs="Calibri" w:eastAsia="Calibri" w:hAnsi="Calibri"/>
          <w:color w:val="2D3748"/>
          <w:sz w:val="22"/>
          <w:szCs w:val="22"/>
        </w:rPr>
        <w:t xml:space="preserve">The design phase established the following instructional approach:</w:t>
      </w:r>
    </w:p>
    <w:p>
      <w:pPr>
        <w:pStyle w:val="ListParagraph"/>
        <w:numPr>
          <w:ilvl w:val="0"/>
          <w:numId w:val="2"/>
        </w:numPr>
        <w:spacing w:after="80" w:before="0"/>
      </w:pPr>
      <w:r>
        <w:rPr>
          <w:rFonts w:ascii="Calibri" w:cs="Calibri" w:eastAsia="Calibri" w:hAnsi="Calibri"/>
          <w:color w:val="2D3748"/>
          <w:sz w:val="22"/>
          <w:szCs w:val="22"/>
        </w:rPr>
        <w:t xml:space="preserve">Competency-based objectives aligned directly to Reg S-P Safeguards Rule obligations and FINRA Rule 4370 requirements</w:t>
      </w:r>
    </w:p>
    <w:p>
      <w:pPr>
        <w:pStyle w:val="ListParagraph"/>
        <w:numPr>
          <w:ilvl w:val="0"/>
          <w:numId w:val="2"/>
        </w:numPr>
        <w:spacing w:after="80" w:before="0"/>
      </w:pPr>
      <w:r>
        <w:rPr>
          <w:rFonts w:ascii="Calibri" w:cs="Calibri" w:eastAsia="Calibri" w:hAnsi="Calibri"/>
          <w:color w:val="2D3748"/>
          <w:sz w:val="22"/>
          <w:szCs w:val="22"/>
        </w:rPr>
        <w:t xml:space="preserve">Microlearning format: three focused modules of approximately 4 minutes each, plus a 3-minute knowledge check</w:t>
      </w:r>
    </w:p>
    <w:p>
      <w:pPr>
        <w:pStyle w:val="ListParagraph"/>
        <w:numPr>
          <w:ilvl w:val="0"/>
          <w:numId w:val="2"/>
        </w:numPr>
        <w:spacing w:after="80" w:before="0"/>
      </w:pPr>
      <w:r>
        <w:rPr>
          <w:rFonts w:ascii="Calibri" w:cs="Calibri" w:eastAsia="Calibri" w:hAnsi="Calibri"/>
          <w:color w:val="2D3748"/>
          <w:sz w:val="22"/>
          <w:szCs w:val="22"/>
        </w:rPr>
        <w:t xml:space="preserve">Scenario-based learning to bridge the gap between regulatory knowledge and on-the-job application</w:t>
      </w:r>
    </w:p>
    <w:p>
      <w:pPr>
        <w:pStyle w:val="ListParagraph"/>
        <w:numPr>
          <w:ilvl w:val="0"/>
          <w:numId w:val="2"/>
        </w:numPr>
        <w:spacing w:after="80" w:before="0"/>
      </w:pPr>
      <w:r>
        <w:rPr>
          <w:rFonts w:ascii="Calibri" w:cs="Calibri" w:eastAsia="Calibri" w:hAnsi="Calibri"/>
          <w:color w:val="2D3748"/>
          <w:sz w:val="22"/>
          <w:szCs w:val="22"/>
        </w:rPr>
        <w:t xml:space="preserve">Interactive elements planned for each module: click-to-reveal (Module 1), drag-and-drop classification activity (Module 2), branching decision scenario (Module 3)</w:t>
      </w:r>
    </w:p>
    <w:p>
      <w:pPr>
        <w:pStyle w:val="ListParagraph"/>
        <w:numPr>
          <w:ilvl w:val="0"/>
          <w:numId w:val="2"/>
        </w:numPr>
        <w:spacing w:after="80" w:before="0"/>
      </w:pPr>
      <w:r>
        <w:rPr>
          <w:rFonts w:ascii="Calibri" w:cs="Calibri" w:eastAsia="Calibri" w:hAnsi="Calibri"/>
          <w:color w:val="2D3748"/>
          <w:sz w:val="22"/>
          <w:szCs w:val="22"/>
        </w:rPr>
        <w:t xml:space="preserve">Clean, minimal visual design aligned with corporate/FINRA aesthetic—no cartoons, no gimmicks</w:t>
      </w:r>
    </w:p>
    <w:p>
      <w:pPr>
        <w:spacing w:after="0" w:before="80"/>
      </w:pPr>
      <w:r>
        <w:rPr>
          <w:sz w:val="2"/>
          <w:szCs w:val="2"/>
        </w:rPr>
        <w:t xml:space="preserve"/>
      </w:r>
    </w:p>
    <w:p>
      <w:pPr>
        <w:pStyle w:val="Heading2"/>
        <w:spacing w:after="140" w:before="280"/>
      </w:pPr>
      <w:r>
        <w:t xml:space="preserve">Development</w:t>
      </w:r>
    </w:p>
    <w:p>
      <w:pPr>
        <w:spacing w:after="120" w:before="0"/>
      </w:pPr>
      <w:r>
        <w:rPr>
          <w:rFonts w:ascii="Calibri" w:cs="Calibri" w:eastAsia="Calibri" w:hAnsi="Calibri"/>
          <w:color w:val="2D3748"/>
          <w:sz w:val="22"/>
          <w:szCs w:val="22"/>
        </w:rPr>
        <w:t xml:space="preserve">The development phase specifies the following tools and workflow:</w:t>
      </w:r>
    </w:p>
    <w:p>
      <w:pPr>
        <w:pStyle w:val="ListParagraph"/>
        <w:numPr>
          <w:ilvl w:val="0"/>
          <w:numId w:val="2"/>
        </w:numPr>
        <w:spacing w:after="80" w:before="0"/>
      </w:pPr>
      <w:r>
        <w:rPr>
          <w:rFonts w:ascii="Calibri" w:cs="Calibri" w:eastAsia="Calibri" w:hAnsi="Calibri"/>
          <w:color w:val="2D3748"/>
          <w:sz w:val="22"/>
          <w:szCs w:val="22"/>
        </w:rPr>
        <w:t xml:space="preserve">Primary authoring tool: Articulate Storyline 360</w:t>
      </w:r>
    </w:p>
    <w:p>
      <w:pPr>
        <w:pStyle w:val="ListParagraph"/>
        <w:numPr>
          <w:ilvl w:val="0"/>
          <w:numId w:val="2"/>
        </w:numPr>
        <w:spacing w:after="80" w:before="0"/>
      </w:pPr>
      <w:r>
        <w:rPr>
          <w:rFonts w:ascii="Calibri" w:cs="Calibri" w:eastAsia="Calibri" w:hAnsi="Calibri"/>
          <w:color w:val="2D3748"/>
          <w:sz w:val="22"/>
          <w:szCs w:val="22"/>
        </w:rPr>
        <w:t xml:space="preserve">Custom graphics and icons: Adobe Illustrator CC</w:t>
      </w:r>
    </w:p>
    <w:p>
      <w:pPr>
        <w:pStyle w:val="ListParagraph"/>
        <w:numPr>
          <w:ilvl w:val="0"/>
          <w:numId w:val="2"/>
        </w:numPr>
        <w:spacing w:after="80" w:before="0"/>
      </w:pPr>
      <w:r>
        <w:rPr>
          <w:rFonts w:ascii="Calibri" w:cs="Calibri" w:eastAsia="Calibri" w:hAnsi="Calibri"/>
          <w:color w:val="2D3748"/>
          <w:sz w:val="22"/>
          <w:szCs w:val="22"/>
        </w:rPr>
        <w:t xml:space="preserve">AI presenter/narrator: Synthesia (for avatar-based narration without live recording)</w:t>
      </w:r>
    </w:p>
    <w:p>
      <w:pPr>
        <w:pStyle w:val="ListParagraph"/>
        <w:numPr>
          <w:ilvl w:val="0"/>
          <w:numId w:val="2"/>
        </w:numPr>
        <w:spacing w:after="80" w:before="0"/>
      </w:pPr>
      <w:r>
        <w:rPr>
          <w:rFonts w:ascii="Calibri" w:cs="Calibri" w:eastAsia="Calibri" w:hAnsi="Calibri"/>
          <w:color w:val="2D3748"/>
          <w:sz w:val="22"/>
          <w:szCs w:val="22"/>
        </w:rPr>
        <w:t xml:space="preserve">Screen recording and editing (if needed): Camtasia</w:t>
      </w:r>
    </w:p>
    <w:p>
      <w:pPr>
        <w:pStyle w:val="ListParagraph"/>
        <w:numPr>
          <w:ilvl w:val="0"/>
          <w:numId w:val="2"/>
        </w:numPr>
        <w:spacing w:after="80" w:before="0"/>
      </w:pPr>
      <w:r>
        <w:rPr>
          <w:rFonts w:ascii="Calibri" w:cs="Calibri" w:eastAsia="Calibri" w:hAnsi="Calibri"/>
          <w:color w:val="2D3748"/>
          <w:sz w:val="22"/>
          <w:szCs w:val="22"/>
        </w:rPr>
        <w:t xml:space="preserve">Review cycles: SME review (compliance officer) → Legal review → QA testing in LMS staging</w:t>
      </w:r>
    </w:p>
    <w:p>
      <w:pPr>
        <w:pStyle w:val="ListParagraph"/>
        <w:numPr>
          <w:ilvl w:val="0"/>
          <w:numId w:val="2"/>
        </w:numPr>
        <w:spacing w:after="80" w:before="0"/>
      </w:pPr>
      <w:r>
        <w:rPr>
          <w:rFonts w:ascii="Calibri" w:cs="Calibri" w:eastAsia="Calibri" w:hAnsi="Calibri"/>
          <w:color w:val="2D3748"/>
          <w:sz w:val="22"/>
          <w:szCs w:val="22"/>
        </w:rPr>
        <w:t xml:space="preserve">Version control: Document revisions tracked in this design document; Storyline file versioned by date</w:t>
      </w:r>
    </w:p>
    <w:p>
      <w:pPr>
        <w:spacing w:after="0" w:before="80"/>
      </w:pPr>
      <w:r>
        <w:rPr>
          <w:sz w:val="2"/>
          <w:szCs w:val="2"/>
        </w:rPr>
        <w:t xml:space="preserve"/>
      </w:r>
    </w:p>
    <w:p>
      <w:pPr>
        <w:pStyle w:val="Heading2"/>
        <w:spacing w:after="140" w:before="280"/>
      </w:pPr>
      <w:r>
        <w:t xml:space="preserve">Implementation</w:t>
      </w:r>
    </w:p>
    <w:p>
      <w:pPr>
        <w:spacing w:after="120" w:before="0"/>
      </w:pPr>
      <w:r>
        <w:rPr>
          <w:rFonts w:ascii="Calibri" w:cs="Calibri" w:eastAsia="Calibri" w:hAnsi="Calibri"/>
          <w:color w:val="2D3748"/>
          <w:sz w:val="22"/>
          <w:szCs w:val="22"/>
        </w:rPr>
        <w:t xml:space="preserve">The implementation phase will use the following deployment specifications:</w:t>
      </w:r>
    </w:p>
    <w:p>
      <w:pPr>
        <w:pStyle w:val="ListParagraph"/>
        <w:numPr>
          <w:ilvl w:val="0"/>
          <w:numId w:val="2"/>
        </w:numPr>
        <w:spacing w:after="80" w:before="0"/>
      </w:pPr>
      <w:r>
        <w:rPr>
          <w:rFonts w:ascii="Calibri" w:cs="Calibri" w:eastAsia="Calibri" w:hAnsi="Calibri"/>
          <w:color w:val="2D3748"/>
          <w:sz w:val="22"/>
          <w:szCs w:val="22"/>
        </w:rPr>
        <w:t xml:space="preserve">LMS output: SCORM 2004 package uploaded to firm LMS</w:t>
      </w:r>
    </w:p>
    <w:p>
      <w:pPr>
        <w:pStyle w:val="ListParagraph"/>
        <w:numPr>
          <w:ilvl w:val="0"/>
          <w:numId w:val="2"/>
        </w:numPr>
        <w:spacing w:after="80" w:before="0"/>
      </w:pPr>
      <w:r>
        <w:rPr>
          <w:rFonts w:ascii="Calibri" w:cs="Calibri" w:eastAsia="Calibri" w:hAnsi="Calibri"/>
          <w:color w:val="2D3748"/>
          <w:sz w:val="22"/>
          <w:szCs w:val="22"/>
        </w:rPr>
        <w:t xml:space="preserve">Completion criteria: Learner must pass knowledge check with ≥80% (4 of 5 questions correct)</w:t>
      </w:r>
    </w:p>
    <w:p>
      <w:pPr>
        <w:pStyle w:val="ListParagraph"/>
        <w:numPr>
          <w:ilvl w:val="0"/>
          <w:numId w:val="2"/>
        </w:numPr>
        <w:spacing w:after="80" w:before="0"/>
      </w:pPr>
      <w:r>
        <w:rPr>
          <w:rFonts w:ascii="Calibri" w:cs="Calibri" w:eastAsia="Calibri" w:hAnsi="Calibri"/>
          <w:color w:val="2D3748"/>
          <w:sz w:val="22"/>
          <w:szCs w:val="22"/>
        </w:rPr>
        <w:t xml:space="preserve">Tracking: xAPI/SCORM score, time-on-task, and completion status reported to LMS</w:t>
      </w:r>
    </w:p>
    <w:p>
      <w:pPr>
        <w:pStyle w:val="ListParagraph"/>
        <w:numPr>
          <w:ilvl w:val="0"/>
          <w:numId w:val="2"/>
        </w:numPr>
        <w:spacing w:after="80" w:before="0"/>
      </w:pPr>
      <w:r>
        <w:rPr>
          <w:rFonts w:ascii="Calibri" w:cs="Calibri" w:eastAsia="Calibri" w:hAnsi="Calibri"/>
          <w:color w:val="2D3748"/>
          <w:sz w:val="22"/>
          <w:szCs w:val="22"/>
        </w:rPr>
        <w:t xml:space="preserve">Communication: Compliance team sends course announcement; managers notified of completion reports</w:t>
      </w:r>
    </w:p>
    <w:p>
      <w:pPr>
        <w:spacing w:after="0" w:before="80"/>
      </w:pPr>
      <w:r>
        <w:rPr>
          <w:sz w:val="2"/>
          <w:szCs w:val="2"/>
        </w:rPr>
        <w:t xml:space="preserve"/>
      </w:r>
    </w:p>
    <w:p>
      <w:pPr>
        <w:pStyle w:val="Heading2"/>
        <w:spacing w:after="140" w:before="280"/>
      </w:pPr>
      <w:r>
        <w:t xml:space="preserve">Evaluation</w:t>
      </w:r>
    </w:p>
    <w:p>
      <w:pPr>
        <w:spacing w:after="120" w:before="0"/>
      </w:pPr>
      <w:r>
        <w:rPr>
          <w:rFonts w:ascii="Calibri" w:cs="Calibri" w:eastAsia="Calibri" w:hAnsi="Calibri"/>
          <w:color w:val="2D3748"/>
          <w:sz w:val="22"/>
          <w:szCs w:val="22"/>
        </w:rPr>
        <w:t xml:space="preserve">A four-level evaluation framework will be applied post-launch:</w:t>
      </w:r>
    </w:p>
    <w:p>
      <w:pPr>
        <w:pStyle w:val="ListParagraph"/>
        <w:numPr>
          <w:ilvl w:val="0"/>
          <w:numId w:val="2"/>
        </w:numPr>
        <w:spacing w:after="80" w:before="0"/>
      </w:pPr>
      <w:r>
        <w:rPr>
          <w:rFonts w:ascii="Calibri" w:cs="Calibri" w:eastAsia="Calibri" w:hAnsi="Calibri"/>
          <w:color w:val="2D3748"/>
          <w:sz w:val="22"/>
          <w:szCs w:val="22"/>
        </w:rPr>
        <w:t xml:space="preserve">Level 1 — Reaction: End-of-course satisfaction survey (3 questions); target: ≥80% positive rating</w:t>
      </w:r>
    </w:p>
    <w:p>
      <w:pPr>
        <w:pStyle w:val="ListParagraph"/>
        <w:numPr>
          <w:ilvl w:val="0"/>
          <w:numId w:val="2"/>
        </w:numPr>
        <w:spacing w:after="80" w:before="0"/>
      </w:pPr>
      <w:r>
        <w:rPr>
          <w:rFonts w:ascii="Calibri" w:cs="Calibri" w:eastAsia="Calibri" w:hAnsi="Calibri"/>
          <w:color w:val="2D3748"/>
          <w:sz w:val="22"/>
          <w:szCs w:val="22"/>
        </w:rPr>
        <w:t xml:space="preserve">Level 2 — Learning: Knowledge check pass rate; target: ≥90% first-attempt pass rate firm-wide</w:t>
      </w:r>
    </w:p>
    <w:p>
      <w:pPr>
        <w:pStyle w:val="ListParagraph"/>
        <w:numPr>
          <w:ilvl w:val="0"/>
          <w:numId w:val="2"/>
        </w:numPr>
        <w:spacing w:after="80" w:before="0"/>
      </w:pPr>
      <w:r>
        <w:rPr>
          <w:rFonts w:ascii="Calibri" w:cs="Calibri" w:eastAsia="Calibri" w:hAnsi="Calibri"/>
          <w:color w:val="2D3748"/>
          <w:sz w:val="22"/>
          <w:szCs w:val="22"/>
        </w:rPr>
        <w:t xml:space="preserve">Level 3 — Behavior: Manager-completed 30-day observation checklist assessing NPI handling practices</w:t>
      </w:r>
    </w:p>
    <w:p>
      <w:pPr>
        <w:pStyle w:val="ListParagraph"/>
        <w:numPr>
          <w:ilvl w:val="0"/>
          <w:numId w:val="2"/>
        </w:numPr>
        <w:spacing w:after="80" w:before="0"/>
      </w:pPr>
      <w:r>
        <w:rPr>
          <w:rFonts w:ascii="Calibri" w:cs="Calibri" w:eastAsia="Calibri" w:hAnsi="Calibri"/>
          <w:color w:val="2D3748"/>
          <w:sz w:val="22"/>
          <w:szCs w:val="22"/>
        </w:rPr>
        <w:t xml:space="preserve">Level 4 — Results: Privacy incident report data; aim to reduce inadvertent NPI disclosures year-over-year</w:t>
      </w:r>
    </w:p>
    <w:p>
      <w:r>
        <w:br w:type="page"/>
      </w:r>
    </w:p>
    <w:p>
      <w:pPr>
        <w:pStyle w:val="Heading1"/>
        <w:spacing w:after="200" w:before="360"/>
      </w:pPr>
      <w:bookmarkStart w:name="s3" w:id="1"/>
      <w:r>
        <w:t xml:space="preserve">3.  Learner Analysis</w:t>
      </w:r>
      <w:bookmarkEnd w:id="1"/>
    </w:p>
    <w:p>
      <w:pPr>
        <w:spacing w:after="0" w:before="8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2200"/>
        <w:gridCol w:w="7040"/>
      </w:tblGrid>
      <w:tr>
        <w:tc>
          <w:tcPr>
            <w:tcW w:type="dxa" w:w="9240"/>
            <w:gridSpan w:val="2"/>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22"/>
                <w:szCs w:val="22"/>
              </w:rPr>
              <w:t xml:space="preserve">Learner Profile</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Role / Function</w:t>
            </w:r>
          </w:p>
        </w:tc>
        <w:tc>
          <w:tcPr>
            <w:tcW w:type="dxa" w:w="70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All firm staff: financial advisors, client service representatives, back-office operations, management, and support functions</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Prior Knowledge</w:t>
            </w:r>
          </w:p>
        </w:tc>
        <w:tc>
          <w:tcPr>
            <w:tcW w:type="dxa" w:w="70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Completed prior annual compliance training. Basic familiarity with data handling policies. May not recall specific regulatory frameworks (Reg S-P, FINRA 4370).</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Learning Environment</w:t>
            </w:r>
          </w:p>
        </w:tc>
        <w:tc>
          <w:tcPr>
            <w:tcW w:type="dxa" w:w="70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Desktop or laptop computer via firm LMS; some learners may access via tablet. Standard office environment during working hours.</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Motivation</w:t>
            </w:r>
          </w:p>
        </w:tc>
        <w:tc>
          <w:tcPr>
            <w:tcW w:type="dxa" w:w="70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Required annual training; externally mandated. Learner motivation is compliance-driven, not intrinsic. Content must therefore be concise, practical, and clearly relevant to real work situations.</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Potential Barriers</w:t>
            </w:r>
          </w:p>
        </w:tc>
        <w:tc>
          <w:tcPr>
            <w:tcW w:type="dxa" w:w="70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Training fatigue from annual compliance cycle; low baseline interest in regulatory content; time pressure during the workday. Short module design mitigates this.</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Accessibility Needs</w:t>
            </w:r>
          </w:p>
        </w:tc>
        <w:tc>
          <w:tcPr>
            <w:tcW w:type="dxa" w:w="70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All course elements designed to WCAG 2.1 AA standards: alt text on images, keyboard navigation, minimum 4.5:1 contrast ratio, closed captions on Synthesia video.</w:t>
            </w:r>
          </w:p>
        </w:tc>
      </w:tr>
    </w:tbl>
    <w:p>
      <w:r>
        <w:br w:type="page"/>
      </w:r>
    </w:p>
    <w:p>
      <w:pPr>
        <w:pStyle w:val="Heading1"/>
        <w:spacing w:after="200" w:before="360"/>
      </w:pPr>
      <w:bookmarkStart w:name="s4" w:id="1"/>
      <w:r>
        <w:t xml:space="preserve">4.  Learning Objectives</w:t>
      </w:r>
      <w:bookmarkEnd w:id="1"/>
    </w:p>
    <w:p>
      <w:pPr>
        <w:spacing w:after="120" w:before="0"/>
      </w:pPr>
      <w:r>
        <w:rPr>
          <w:rFonts w:ascii="Calibri" w:cs="Calibri" w:eastAsia="Calibri" w:hAnsi="Calibri"/>
          <w:color w:val="2D3748"/>
          <w:sz w:val="22"/>
          <w:szCs w:val="22"/>
        </w:rPr>
        <w:t xml:space="preserve">The following terminal and enabling objectives were derived from a task analysis of the regulatory requirements and performance gap identified in the Analysis phase. All objectives use Bloom’s Taxonomy action verbs at the Application level or higher, ensuring learners can demonstrate real-world competency—not just recall.</w:t>
      </w:r>
    </w:p>
    <w:p>
      <w:pPr>
        <w:spacing w:after="0" w:before="80"/>
      </w:pPr>
      <w:r>
        <w:rPr>
          <w:sz w:val="2"/>
          <w:szCs w:val="2"/>
        </w:rPr>
        <w:t xml:space="preserve"/>
      </w:r>
    </w:p>
    <w:p>
      <w:pPr>
        <w:pStyle w:val="Heading2"/>
        <w:spacing w:after="140" w:before="280"/>
      </w:pPr>
      <w:r>
        <w:t xml:space="preserve">Terminal Objective</w:t>
      </w:r>
    </w:p>
    <w:p>
      <w:pPr>
        <w:spacing w:after="120" w:before="0"/>
      </w:pPr>
      <w:r>
        <w:rPr>
          <w:rFonts w:ascii="Calibri" w:cs="Calibri" w:eastAsia="Calibri" w:hAnsi="Calibri"/>
          <w:color w:val="2D3748"/>
          <w:sz w:val="22"/>
          <w:szCs w:val="22"/>
        </w:rPr>
        <w:t xml:space="preserve">Upon completing this course, all staff will be able to correctly identify, handle, and protect Nonpublic Personal Information (NPI) in compliance with Regulation S-P and FINRA Rule 4370, and will know how to respond appropriately when a potential data privacy incident occurs.</w:t>
      </w:r>
    </w:p>
    <w:p>
      <w:pPr>
        <w:spacing w:after="0" w:before="100"/>
      </w:pPr>
      <w:r>
        <w:rPr>
          <w:sz w:val="2"/>
          <w:szCs w:val="2"/>
        </w:rPr>
        <w:t xml:space="preserve"/>
      </w:r>
    </w:p>
    <w:p>
      <w:pPr>
        <w:pStyle w:val="Heading2"/>
        <w:spacing w:after="140" w:before="280"/>
      </w:pPr>
      <w:r>
        <w:t xml:space="preserve">Module-Level Performance Objectives</w:t>
      </w:r>
    </w:p>
    <w:p>
      <w:pPr>
        <w:spacing w:after="120" w:before="0"/>
      </w:pPr>
      <w:r>
        <w:rPr>
          <w:rFonts w:ascii="Calibri" w:cs="Calibri" w:eastAsia="Calibri" w:hAnsi="Calibri"/>
          <w:color w:val="2D3748"/>
          <w:sz w:val="22"/>
          <w:szCs w:val="22"/>
        </w:rPr>
        <w:t xml:space="preserve">The following three module-level objectives are displayed on the Course Objectives screen (Screen 0.2) at the start of the course. Each is written as a performance objective using a Bloom’s Taxonomy action verb at Level 3 (Application) or higher, in accordance with Criterion-Referenced Instruction (CRI) principles.</w:t>
      </w:r>
    </w:p>
    <w:p>
      <w:pPr>
        <w:spacing w:after="0" w:before="8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1900"/>
        <w:gridCol w:w="4140"/>
      </w:tblGrid>
      <w:tr>
        <w:tc>
          <w:tcPr>
            <w:tcW w:type="dxa" w:w="14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Module</w:t>
            </w:r>
          </w:p>
        </w:tc>
        <w:tc>
          <w:tcPr>
            <w:tcW w:type="dxa" w:w="18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Bloom’s Level</w:t>
            </w:r>
          </w:p>
        </w:tc>
        <w:tc>
          <w:tcPr>
            <w:tcW w:type="dxa" w:w="19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Action Verb</w:t>
            </w:r>
          </w:p>
        </w:tc>
        <w:tc>
          <w:tcPr>
            <w:tcW w:type="dxa" w:w="414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Performance Objective</w:t>
            </w:r>
          </w:p>
        </w:tc>
      </w:tr>
      <w:tr>
        <w:tc>
          <w:tcPr>
            <w:tcW w:type="dxa" w:w="1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vAlign w:val="top"/>
          </w:tcPr>
          <w:p>
            <w:r>
              <w:rPr>
                <w:rFonts w:ascii="Calibri" w:cs="Calibri" w:eastAsia="Calibri" w:hAnsi="Calibri"/>
                <w:b w:val="false"/>
                <w:bCs w:val="false"/>
                <w:color w:val="2D3748"/>
                <w:sz w:val="20"/>
                <w:szCs w:val="20"/>
              </w:rPr>
              <w:t xml:space="preserve">Module 1
The Rules That Bind Us</w:t>
            </w:r>
          </w:p>
        </w:tc>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vAlign w:val="top"/>
          </w:tcPr>
          <w:p>
            <w:r>
              <w:rPr>
                <w:rFonts w:ascii="Calibri" w:cs="Calibri" w:eastAsia="Calibri" w:hAnsi="Calibri"/>
                <w:b w:val="false"/>
                <w:bCs w:val="false"/>
                <w:color w:val="1B2A4A"/>
                <w:sz w:val="20"/>
                <w:szCs w:val="20"/>
              </w:rPr>
              <w:t xml:space="preserve">Level 3 — Application</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vAlign w:val="top"/>
          </w:tcPr>
          <w:p>
            <w:r>
              <w:rPr>
                <w:rFonts w:ascii="Calibri" w:cs="Calibri" w:eastAsia="Calibri" w:hAnsi="Calibri"/>
                <w:b/>
                <w:bCs/>
                <w:color w:val="2D3748"/>
                <w:sz w:val="20"/>
                <w:szCs w:val="20"/>
              </w:rPr>
              <w:t xml:space="preserve">Apply</w:t>
            </w:r>
          </w:p>
        </w:tc>
        <w:tc>
          <w:tcPr>
            <w:tcW w:type="dxa" w:w="41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vAlign w:val="top"/>
          </w:tcPr>
          <w:p>
            <w:r>
              <w:rPr>
                <w:rFonts w:ascii="Calibri" w:cs="Calibri" w:eastAsia="Calibri" w:hAnsi="Calibri"/>
                <w:b w:val="false"/>
                <w:bCs w:val="false"/>
                <w:color w:val="2D3748"/>
                <w:sz w:val="20"/>
                <w:szCs w:val="20"/>
              </w:rPr>
              <w:t xml:space="preserve">Apply the requirements of Regulation S-P and FINRA Rule 4370 to identify which compliance obligations govern your firm and your individual role.</w:t>
            </w:r>
          </w:p>
        </w:tc>
      </w:tr>
      <w:tr>
        <w:tc>
          <w:tcPr>
            <w:tcW w:type="dxa" w:w="14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top"/>
          </w:tcPr>
          <w:p>
            <w:r>
              <w:rPr>
                <w:rFonts w:ascii="Calibri" w:cs="Calibri" w:eastAsia="Calibri" w:hAnsi="Calibri"/>
                <w:b w:val="false"/>
                <w:bCs w:val="false"/>
                <w:color w:val="2D3748"/>
                <w:sz w:val="20"/>
                <w:szCs w:val="20"/>
              </w:rPr>
              <w:t xml:space="preserve">Module 2
Your Data, Your Duty</w:t>
            </w:r>
          </w:p>
        </w:tc>
        <w:tc>
          <w:tcPr>
            <w:tcW w:type="dxa" w:w="18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top"/>
          </w:tcPr>
          <w:p>
            <w:r>
              <w:rPr>
                <w:rFonts w:ascii="Calibri" w:cs="Calibri" w:eastAsia="Calibri" w:hAnsi="Calibri"/>
                <w:b w:val="false"/>
                <w:bCs w:val="false"/>
                <w:color w:val="1B2A4A"/>
                <w:sz w:val="20"/>
                <w:szCs w:val="20"/>
              </w:rPr>
              <w:t xml:space="preserve">Level 4 — Analysis</w:t>
            </w:r>
          </w:p>
        </w:tc>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top"/>
          </w:tcPr>
          <w:p>
            <w:r>
              <w:rPr>
                <w:rFonts w:ascii="Calibri" w:cs="Calibri" w:eastAsia="Calibri" w:hAnsi="Calibri"/>
                <w:b/>
                <w:bCs/>
                <w:color w:val="2D3748"/>
                <w:sz w:val="20"/>
                <w:szCs w:val="20"/>
              </w:rPr>
              <w:t xml:space="preserve">Classify</w:t>
            </w:r>
          </w:p>
        </w:tc>
        <w:tc>
          <w:tcPr>
            <w:tcW w:type="dxa" w:w="41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vAlign w:val="top"/>
          </w:tcPr>
          <w:p>
            <w:r>
              <w:rPr>
                <w:rFonts w:ascii="Calibri" w:cs="Calibri" w:eastAsia="Calibri" w:hAnsi="Calibri"/>
                <w:b w:val="false"/>
                <w:bCs w:val="false"/>
                <w:color w:val="2D3748"/>
                <w:sz w:val="20"/>
                <w:szCs w:val="20"/>
              </w:rPr>
              <w:t xml:space="preserve">Classify real-world data examples as Nonpublic Personal Information (NPI) or non-protected information, and select the appropriate safeguarding procedure for each category.</w:t>
            </w:r>
          </w:p>
        </w:tc>
      </w:tr>
      <w:tr>
        <w:tc>
          <w:tcPr>
            <w:tcW w:type="dxa" w:w="14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vAlign w:val="top"/>
          </w:tcPr>
          <w:p>
            <w:r>
              <w:rPr>
                <w:rFonts w:ascii="Calibri" w:cs="Calibri" w:eastAsia="Calibri" w:hAnsi="Calibri"/>
                <w:b w:val="false"/>
                <w:bCs w:val="false"/>
                <w:color w:val="2D3748"/>
                <w:sz w:val="20"/>
                <w:szCs w:val="20"/>
              </w:rPr>
              <w:t xml:space="preserve">Module 3
When Things Go Wrong</w:t>
            </w:r>
          </w:p>
        </w:tc>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vAlign w:val="top"/>
          </w:tcPr>
          <w:p>
            <w:r>
              <w:rPr>
                <w:rFonts w:ascii="Calibri" w:cs="Calibri" w:eastAsia="Calibri" w:hAnsi="Calibri"/>
                <w:b w:val="false"/>
                <w:bCs w:val="false"/>
                <w:color w:val="1B2A4A"/>
                <w:sz w:val="20"/>
                <w:szCs w:val="20"/>
              </w:rPr>
              <w:t xml:space="preserve">Level 5 — Evaluation</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vAlign w:val="top"/>
          </w:tcPr>
          <w:p>
            <w:r>
              <w:rPr>
                <w:rFonts w:ascii="Calibri" w:cs="Calibri" w:eastAsia="Calibri" w:hAnsi="Calibri"/>
                <w:b/>
                <w:bCs/>
                <w:color w:val="2D3748"/>
                <w:sz w:val="20"/>
                <w:szCs w:val="20"/>
              </w:rPr>
              <w:t xml:space="preserve">Evaluate</w:t>
            </w:r>
          </w:p>
        </w:tc>
        <w:tc>
          <w:tcPr>
            <w:tcW w:type="dxa" w:w="41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vAlign w:val="top"/>
          </w:tcPr>
          <w:p>
            <w:r>
              <w:rPr>
                <w:rFonts w:ascii="Calibri" w:cs="Calibri" w:eastAsia="Calibri" w:hAnsi="Calibri"/>
                <w:b w:val="false"/>
                <w:bCs w:val="false"/>
                <w:color w:val="2D3748"/>
                <w:sz w:val="20"/>
                <w:szCs w:val="20"/>
              </w:rPr>
              <w:t xml:space="preserve">Given a scenario involving a suspicious data request, evaluate the appropriate response and execute the correct steps of the firm’s five-step incident response protocol.</w:t>
            </w:r>
          </w:p>
        </w:tc>
      </w:tr>
    </w:tbl>
    <w:p>
      <w:pPr>
        <w:spacing w:after="0" w:before="120"/>
      </w:pPr>
      <w:r>
        <w:rPr>
          <w:sz w:val="2"/>
          <w:szCs w:val="2"/>
        </w:rPr>
        <w:t xml:space="preserve"/>
      </w:r>
    </w:p>
    <w:p>
      <w:pPr>
        <w:pStyle w:val="Heading2"/>
        <w:spacing w:after="140" w:before="280"/>
      </w:pPr>
      <w:r>
        <w:t xml:space="preserve">Enabling Objectives</w:t>
      </w:r>
    </w:p>
    <w:p>
      <w:pPr>
        <w:pStyle w:val="ListParagraph"/>
        <w:numPr>
          <w:ilvl w:val="0"/>
          <w:numId w:val="3"/>
        </w:numPr>
        <w:spacing w:after="80" w:before="0"/>
      </w:pPr>
      <w:r>
        <w:rPr>
          <w:rFonts w:ascii="Calibri" w:cs="Calibri" w:eastAsia="Calibri" w:hAnsi="Calibri"/>
          <w:color w:val="2D3748"/>
          <w:sz w:val="22"/>
          <w:szCs w:val="22"/>
        </w:rPr>
        <w:t xml:space="preserve">Identify the key provisions of Regulation S-P and FINRA Rule 4370 that apply to their role (Knowledge — Module 1)</w:t>
      </w:r>
    </w:p>
    <w:p>
      <w:pPr>
        <w:pStyle w:val="ListParagraph"/>
        <w:numPr>
          <w:ilvl w:val="0"/>
          <w:numId w:val="3"/>
        </w:numPr>
        <w:spacing w:after="80" w:before="0"/>
      </w:pPr>
      <w:r>
        <w:rPr>
          <w:rFonts w:ascii="Calibri" w:cs="Calibri" w:eastAsia="Calibri" w:hAnsi="Calibri"/>
          <w:color w:val="2D3748"/>
          <w:sz w:val="22"/>
          <w:szCs w:val="22"/>
        </w:rPr>
        <w:t xml:space="preserve">Distinguish between Nonpublic Personal Information (NPI) and non-protected information using real-world examples (Comprehension/Application — Module 2)</w:t>
      </w:r>
    </w:p>
    <w:p>
      <w:pPr>
        <w:pStyle w:val="ListParagraph"/>
        <w:numPr>
          <w:ilvl w:val="0"/>
          <w:numId w:val="3"/>
        </w:numPr>
        <w:spacing w:after="80" w:before="0"/>
      </w:pPr>
      <w:r>
        <w:rPr>
          <w:rFonts w:ascii="Calibri" w:cs="Calibri" w:eastAsia="Calibri" w:hAnsi="Calibri"/>
          <w:color w:val="2D3748"/>
          <w:sz w:val="22"/>
          <w:szCs w:val="22"/>
        </w:rPr>
        <w:t xml:space="preserve">Apply appropriate NPI safeguarding practices in daily work activities, including secure storage, transmission, and disposal (Application — Module 2)</w:t>
      </w:r>
    </w:p>
    <w:p>
      <w:pPr>
        <w:pStyle w:val="ListParagraph"/>
        <w:numPr>
          <w:ilvl w:val="0"/>
          <w:numId w:val="3"/>
        </w:numPr>
        <w:spacing w:after="80" w:before="0"/>
      </w:pPr>
      <w:r>
        <w:rPr>
          <w:rFonts w:ascii="Calibri" w:cs="Calibri" w:eastAsia="Calibri" w:hAnsi="Calibri"/>
          <w:color w:val="2D3748"/>
          <w:sz w:val="22"/>
          <w:szCs w:val="22"/>
        </w:rPr>
        <w:t xml:space="preserve">Recognize the warning signs of a potential data privacy breach or unauthorized disclosure (Analysis — Module 3)</w:t>
      </w:r>
    </w:p>
    <w:p>
      <w:pPr>
        <w:pStyle w:val="ListParagraph"/>
        <w:numPr>
          <w:ilvl w:val="0"/>
          <w:numId w:val="3"/>
        </w:numPr>
        <w:spacing w:after="80" w:before="0"/>
      </w:pPr>
      <w:r>
        <w:rPr>
          <w:rFonts w:ascii="Calibri" w:cs="Calibri" w:eastAsia="Calibri" w:hAnsi="Calibri"/>
          <w:color w:val="2D3748"/>
          <w:sz w:val="22"/>
          <w:szCs w:val="22"/>
        </w:rPr>
        <w:t xml:space="preserve">Select the correct course of action when a suspicious data-related request or incident is encountered (Evaluation — Module 3 Branching Scenario)</w:t>
      </w:r>
    </w:p>
    <w:p>
      <w:pPr>
        <w:pStyle w:val="ListParagraph"/>
        <w:numPr>
          <w:ilvl w:val="0"/>
          <w:numId w:val="3"/>
        </w:numPr>
        <w:spacing w:after="80" w:before="0"/>
      </w:pPr>
      <w:r>
        <w:rPr>
          <w:rFonts w:ascii="Calibri" w:cs="Calibri" w:eastAsia="Calibri" w:hAnsi="Calibri"/>
          <w:color w:val="2D3748"/>
          <w:sz w:val="22"/>
          <w:szCs w:val="22"/>
        </w:rPr>
        <w:t xml:space="preserve">Describe the correct steps of the firm’s data privacy incident response procedure (Knowledge — Module 3)</w:t>
      </w:r>
    </w:p>
    <w:p>
      <w:r>
        <w:br w:type="page"/>
      </w:r>
    </w:p>
    <w:p>
      <w:pPr>
        <w:pStyle w:val="Heading1"/>
        <w:spacing w:after="200" w:before="360"/>
      </w:pPr>
      <w:bookmarkStart w:name="s5" w:id="1"/>
      <w:r>
        <w:t xml:space="preserve">5.  Course Architecture &amp; Module Map</w:t>
      </w:r>
      <w:bookmarkEnd w:id="1"/>
    </w:p>
    <w:p>
      <w:pPr>
        <w:spacing w:after="120" w:before="0"/>
      </w:pPr>
      <w:r>
        <w:rPr>
          <w:rFonts w:ascii="Calibri" w:cs="Calibri" w:eastAsia="Calibri" w:hAnsi="Calibri"/>
          <w:color w:val="2D3748"/>
          <w:sz w:val="22"/>
          <w:szCs w:val="22"/>
        </w:rPr>
        <w:t xml:space="preserve">The course is organized into three microlearning modules followed by a summative knowledge check. Total estimated duration is 12–15 minutes. Each module is designed to stand independently so learners can return for just-in-time reference after initial completion.</w:t>
      </w:r>
    </w:p>
    <w:p>
      <w:pPr>
        <w:spacing w:after="0" w:before="8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1900"/>
        <w:gridCol w:w="1300"/>
        <w:gridCol w:w="1840"/>
        <w:gridCol w:w="1400"/>
      </w:tblGrid>
      <w:tr>
        <w:tc>
          <w:tcPr>
            <w:tcW w:type="dxa" w:w="11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w:t>
            </w:r>
          </w:p>
        </w:tc>
        <w:tc>
          <w:tcPr>
            <w:tcW w:type="dxa" w:w="17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Module</w:t>
            </w:r>
          </w:p>
        </w:tc>
        <w:tc>
          <w:tcPr>
            <w:tcW w:type="dxa" w:w="19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Key Topic</w:t>
            </w:r>
          </w:p>
        </w:tc>
        <w:tc>
          <w:tcPr>
            <w:tcW w:type="dxa" w:w="13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Duration</w:t>
            </w:r>
          </w:p>
        </w:tc>
        <w:tc>
          <w:tcPr>
            <w:tcW w:type="dxa" w:w="184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Interactive Element</w:t>
            </w:r>
          </w:p>
        </w:tc>
        <w:tc>
          <w:tcPr>
            <w:tcW w:type="dxa" w:w="14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Assessment</w:t>
            </w:r>
          </w:p>
        </w:tc>
      </w:tr>
      <w:tr>
        <w:tc>
          <w:tcPr>
            <w:tcW w:type="dxa" w:w="11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w:t>
            </w:r>
          </w:p>
        </w:tc>
        <w:tc>
          <w:tcPr>
            <w:tcW w:type="dxa" w:w="17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bCs/>
                <w:color w:val="1B2A4A"/>
                <w:sz w:val="19"/>
                <w:szCs w:val="19"/>
              </w:rPr>
              <w:t xml:space="preserve">Welcome</w:t>
            </w:r>
          </w:p>
        </w:tc>
        <w:tc>
          <w:tcPr>
            <w:tcW w:type="dxa" w:w="19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Course intro &amp; navigation overview</w:t>
            </w:r>
          </w:p>
        </w:tc>
        <w:tc>
          <w:tcPr>
            <w:tcW w:type="dxa" w:w="13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~1 min</w:t>
            </w:r>
          </w:p>
        </w:tc>
        <w:tc>
          <w:tcPr>
            <w:tcW w:type="dxa" w:w="184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None</w:t>
            </w:r>
          </w:p>
        </w:tc>
        <w:tc>
          <w:tcPr>
            <w:tcW w:type="dxa" w:w="14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None</w:t>
            </w:r>
          </w:p>
        </w:tc>
      </w:tr>
      <w:tr>
        <w:tc>
          <w:tcPr>
            <w:tcW w:type="dxa" w:w="11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1</w:t>
            </w:r>
          </w:p>
        </w:tc>
        <w:tc>
          <w:tcPr>
            <w:tcW w:type="dxa" w:w="17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bCs/>
                <w:color w:val="1B2A4A"/>
                <w:sz w:val="19"/>
                <w:szCs w:val="19"/>
              </w:rPr>
              <w:t xml:space="preserve">The Rules That Bind Us</w:t>
            </w:r>
          </w:p>
        </w:tc>
        <w:tc>
          <w:tcPr>
            <w:tcW w:type="dxa" w:w="19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Regulation S-P; FINRA Rule 4370</w:t>
            </w:r>
          </w:p>
        </w:tc>
        <w:tc>
          <w:tcPr>
            <w:tcW w:type="dxa" w:w="13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~4 min</w:t>
            </w:r>
          </w:p>
        </w:tc>
        <w:tc>
          <w:tcPr>
            <w:tcW w:type="dxa" w:w="184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Click-to-Reveal (4 cards)</w:t>
            </w:r>
          </w:p>
        </w:tc>
        <w:tc>
          <w:tcPr>
            <w:tcW w:type="dxa" w:w="14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1 reflection prompt</w:t>
            </w:r>
          </w:p>
        </w:tc>
      </w:tr>
      <w:tr>
        <w:tc>
          <w:tcPr>
            <w:tcW w:type="dxa" w:w="11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2</w:t>
            </w:r>
          </w:p>
        </w:tc>
        <w:tc>
          <w:tcPr>
            <w:tcW w:type="dxa" w:w="17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bCs/>
                <w:color w:val="1B2A4A"/>
                <w:sz w:val="19"/>
                <w:szCs w:val="19"/>
              </w:rPr>
              <w:t xml:space="preserve">Your Data, Your Duty</w:t>
            </w:r>
          </w:p>
        </w:tc>
        <w:tc>
          <w:tcPr>
            <w:tcW w:type="dxa" w:w="19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Defining NPI; staff responsibilities</w:t>
            </w:r>
          </w:p>
        </w:tc>
        <w:tc>
          <w:tcPr>
            <w:tcW w:type="dxa" w:w="13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~4 min</w:t>
            </w:r>
          </w:p>
        </w:tc>
        <w:tc>
          <w:tcPr>
            <w:tcW w:type="dxa" w:w="184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Drag-and-Drop classifier</w:t>
            </w:r>
          </w:p>
        </w:tc>
        <w:tc>
          <w:tcPr>
            <w:tcW w:type="dxa" w:w="14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1 formative question</w:t>
            </w:r>
          </w:p>
        </w:tc>
      </w:tr>
      <w:tr>
        <w:tc>
          <w:tcPr>
            <w:tcW w:type="dxa" w:w="11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3</w:t>
            </w:r>
          </w:p>
        </w:tc>
        <w:tc>
          <w:tcPr>
            <w:tcW w:type="dxa" w:w="17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bCs/>
                <w:color w:val="1B2A4A"/>
                <w:sz w:val="19"/>
                <w:szCs w:val="19"/>
              </w:rPr>
              <w:t xml:space="preserve">When Things Go Wrong</w:t>
            </w:r>
          </w:p>
        </w:tc>
        <w:tc>
          <w:tcPr>
            <w:tcW w:type="dxa" w:w="19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Breach warning signs; incident response</w:t>
            </w:r>
          </w:p>
        </w:tc>
        <w:tc>
          <w:tcPr>
            <w:tcW w:type="dxa" w:w="13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~4 min</w:t>
            </w:r>
          </w:p>
        </w:tc>
        <w:tc>
          <w:tcPr>
            <w:tcW w:type="dxa" w:w="184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Branching scenario</w:t>
            </w:r>
          </w:p>
        </w:tc>
        <w:tc>
          <w:tcPr>
            <w:tcW w:type="dxa" w:w="14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Summative KC</w:t>
            </w:r>
          </w:p>
        </w:tc>
      </w:tr>
      <w:tr>
        <w:tc>
          <w:tcPr>
            <w:tcW w:type="dxa" w:w="11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w:t>
            </w:r>
          </w:p>
        </w:tc>
        <w:tc>
          <w:tcPr>
            <w:tcW w:type="dxa" w:w="17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bCs/>
                <w:color w:val="1B2A4A"/>
                <w:sz w:val="19"/>
                <w:szCs w:val="19"/>
              </w:rPr>
              <w:t xml:space="preserve">Knowledge Check</w:t>
            </w:r>
          </w:p>
        </w:tc>
        <w:tc>
          <w:tcPr>
            <w:tcW w:type="dxa" w:w="19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Covers all 3 modules</w:t>
            </w:r>
          </w:p>
        </w:tc>
        <w:tc>
          <w:tcPr>
            <w:tcW w:type="dxa" w:w="13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~3 min</w:t>
            </w:r>
          </w:p>
        </w:tc>
        <w:tc>
          <w:tcPr>
            <w:tcW w:type="dxa" w:w="184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5 MC questions w/ feedback</w:t>
            </w:r>
          </w:p>
        </w:tc>
        <w:tc>
          <w:tcPr>
            <w:tcW w:type="dxa" w:w="14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b w:val="false"/>
                <w:bCs w:val="false"/>
                <w:color w:val="2D3748"/>
                <w:sz w:val="19"/>
                <w:szCs w:val="19"/>
              </w:rPr>
              <w:t xml:space="preserve">Pass: 80% (4/5)</w:t>
            </w:r>
          </w:p>
        </w:tc>
      </w:tr>
    </w:tbl>
    <w:p>
      <w:r>
        <w:br w:type="page"/>
      </w:r>
    </w:p>
    <w:p>
      <w:pPr>
        <w:pStyle w:val="Heading1"/>
        <w:spacing w:after="200" w:before="360"/>
      </w:pPr>
      <w:bookmarkStart w:name="s6" w:id="1"/>
      <w:r>
        <w:t xml:space="preserve">6.  Module Outlines</w:t>
      </w:r>
      <w:bookmarkEnd w:id="1"/>
    </w:p>
    <w:p>
      <w:pPr>
        <w:spacing w:after="120" w:before="0"/>
      </w:pPr>
      <w:r>
        <w:rPr>
          <w:rFonts w:ascii="Calibri" w:cs="Calibri" w:eastAsia="Calibri" w:hAnsi="Calibri"/>
          <w:color w:val="2D3748"/>
          <w:sz w:val="22"/>
          <w:szCs w:val="22"/>
        </w:rPr>
        <w:t xml:space="preserve">Each module is broken down into individual screens. Screens correspond 1:1 with slides in the accompanying storyboard PowerPoint and the eventual Articulate Storyline 360 build. Screen type, on-screen content, narration summary, interaction details, and visual notes are provided for each screen.</w:t>
      </w:r>
    </w:p>
    <w:p>
      <w:pPr>
        <w:spacing w:after="0" w:before="120"/>
      </w:pPr>
      <w:r>
        <w:rPr>
          <w:sz w:val="2"/>
          <w:szCs w:val="2"/>
        </w:rPr>
        <w:t xml:space="preserve"/>
      </w:r>
    </w:p>
    <w:p>
      <w:pPr>
        <w:pStyle w:val="Heading2"/>
        <w:spacing w:after="140" w:before="280"/>
      </w:pPr>
      <w:r>
        <w:t xml:space="preserve">Module 1: The Rules That Bind Us</w:t>
      </w:r>
    </w:p>
    <w:p>
      <w:pPr>
        <w:spacing w:after="120" w:before="0"/>
      </w:pPr>
      <w:r>
        <w:rPr>
          <w:rFonts w:ascii="Calibri" w:cs="Calibri" w:eastAsia="Calibri" w:hAnsi="Calibri"/>
          <w:color w:val="2D3748"/>
          <w:sz w:val="22"/>
          <w:szCs w:val="22"/>
        </w:rPr>
        <w:t xml:space="preserve">Focus: Introduce the regulatory framework—Regulation S-P and FINRA Rule 4370—and the firm’s core compliance obligations under each.</w:t>
      </w:r>
    </w:p>
    <w:p>
      <w:pPr>
        <w:spacing w:after="0" w:before="8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1.1  </w:t>
            </w:r>
            <w:r>
              <w:rPr>
                <w:rFonts w:ascii="Calibri" w:cs="Calibri" w:eastAsia="Calibri" w:hAnsi="Calibri"/>
                <w:b/>
                <w:bCs/>
                <w:color w:val="FFFFFF"/>
                <w:sz w:val="20"/>
                <w:szCs w:val="20"/>
              </w:rPr>
              <w:t xml:space="preserve">Module Introduction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Title / Hook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Module 1: The Rules That Bind Us | Key question: “What rules govern how we protect client data—and what do they require of us?”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Welcome to Module 1. Every day, you handle sensitive information about clients and their finances. But do you know the specific federal rules that govern how that information must be protected? In this module, we’ll walk through the two key regulations that define your firm’s data privacy obligations.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Clean split layout: module number and title left panel, regulatory authority icons right panel. Subtle navy header bar. Gold accent rule.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Interaction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Click Next to continue. No learner interaction required on this screen.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~30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1.2  </w:t>
            </w:r>
            <w:r>
              <w:rPr>
                <w:rFonts w:ascii="Calibri" w:cs="Calibri" w:eastAsia="Calibri" w:hAnsi="Calibri"/>
                <w:b/>
                <w:bCs/>
                <w:color w:val="FFFFFF"/>
                <w:sz w:val="20"/>
                <w:szCs w:val="20"/>
              </w:rPr>
              <w:t xml:space="preserve">Regulation S-P: The Safeguards Rule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Content — Informational</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Regulation S-P requires financial firms to safeguard customer Nonpublic Personal Information (NPI). Three core pillars: (1) Privacy Notice — inform customers of your information-sharing practices; (2) Opt-Out Rights — give customers a way to limit certain sharing; (3) Safeguards — maintain a written program to protect NPI.</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Regulation S-P—sometimes called the Safeguards Rule—is an SEC rule that applies to broker-dealers, investment advisers, and other financial institutions. It has three major requirements: providing privacy notices to customers, giving customers the ability to opt out of certain information sharing, and maintaining a formal safeguards program to protect NPI.</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Three-column icon layout on white background. Each pillar has a custom flat icon (document, lock, shield), bold label, and 1–2 sentence description. Gold accent rule at top.</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Interaction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Click Next to continue.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~60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1.3  </w:t>
            </w:r>
            <w:r>
              <w:rPr>
                <w:rFonts w:ascii="Calibri" w:cs="Calibri" w:eastAsia="Calibri" w:hAnsi="Calibri"/>
                <w:b/>
                <w:bCs/>
                <w:color w:val="FFFFFF"/>
                <w:sz w:val="20"/>
                <w:szCs w:val="20"/>
              </w:rPr>
              <w:t xml:space="preserve">Key Obligations — Click-to-Reveal Interaction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Interaction — Click-to-Reveal</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“Click each card to explore your firm’s key obligations under Reg S-P.” | Four cards: (1) Privacy Notice, (2) Safeguards Program, (3) Service Provider Oversight, (4) Incident Response Planning</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Card Content</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Card 1: Must provide initial and annual privacy notices explaining what NPI is collected and shared. | Card 2: Must maintain a written information security program. | Card 3: Must ensure service providers who access NPI have appropriate safeguards via contract. | Card 4: Must have a documented incident response plan for unauthorized NPI access or disclosure.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Regulation S-P creates several specific obligations for your firm. Let’s look at the four most important ones. Click each card to learn more. All four cards must be clicked before you can continue.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2×2 grid of cards on light gray background. Cards are white with navy top strip. Cards flip on click to reveal detail text on reverse side. Cards dim slightly after clicking.</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Storyline Note</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Use ‘Show Layer’ trigger on each card. Track completion via integer variable (CardCount). Increment on each unique card click. Enable Continue button only when CardCount = 4.</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~90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1.4  </w:t>
            </w:r>
            <w:r>
              <w:rPr>
                <w:rFonts w:ascii="Calibri" w:cs="Calibri" w:eastAsia="Calibri" w:hAnsi="Calibri"/>
                <w:b/>
                <w:bCs/>
                <w:color w:val="FFFFFF"/>
                <w:sz w:val="20"/>
                <w:szCs w:val="20"/>
              </w:rPr>
              <w:t xml:space="preserve">FINRA Rule 4370: Business Continuity &amp; Data Protection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Content — Informational</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FINRA Rule 4370 requires member firms to create and maintain a Business Continuity Plan (BCP). Key data-related requirements: (1) Protect books and records, (2) Maintain customer account access during disruptions, (3) Designate an emergency contact with FINRA, (4) Review and update the plan annually.</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FINRA Rule 4370 takes a different angle. Rather than focusing on day-to-day privacy practices, it requires firms to have a plan for protecting customer data and maintaining operations during an emergency—whether that’s a system outage, a natural disaster, or a cybersecurity incident.</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Horizontal numbered step graphic (1 → 2 → 3 → 4) with custom icons. Clean white background, navy step numbers, gold connector arrows.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Interaction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Click Next to continue.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~60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1.5  </w:t>
            </w:r>
            <w:r>
              <w:rPr>
                <w:rFonts w:ascii="Calibri" w:cs="Calibri" w:eastAsia="Calibri" w:hAnsi="Calibri"/>
                <w:b/>
                <w:bCs/>
                <w:color w:val="FFFFFF"/>
                <w:sz w:val="20"/>
                <w:szCs w:val="20"/>
              </w:rPr>
              <w:t xml:space="preserve">Module 1 Summary</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Summary / Reflection Prompt</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Key Takeaways: • Regulation S-P requires firms to provide privacy notices, allow opt-outs, and maintain a formal safeguards program. • FINRA Rule 4370 requires a business continuity plan that addresses data protection and customer access. • Both regulations place specific obligations on you as a staff member.</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Reflection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“Which Regulation S-P obligation do you think is most directly relevant to your day-to-day work?” [Ungraded reflective prompt only]</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Before moving on: Reg S-P and FINRA Rule 4370 together establish the framework for how your firm must protect customer data—both daily and in an emergency. In Module 2, we’ll get practical: what exactly is the data you need to protect, and what does that look like in your daily work?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Summary card layout: three callout boxes with key takeaways, reflective question in gold-bordered box at bottom.</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~60 seconds</w:t>
            </w:r>
          </w:p>
        </w:tc>
      </w:tr>
    </w:tbl>
    <w:p>
      <w:pPr>
        <w:spacing w:after="0" w:before="200"/>
      </w:pPr>
      <w:r>
        <w:rPr>
          <w:sz w:val="2"/>
          <w:szCs w:val="2"/>
        </w:rPr>
        <w:t xml:space="preserve"/>
      </w:r>
    </w:p>
    <w:p>
      <w:pPr>
        <w:pStyle w:val="Heading2"/>
        <w:spacing w:after="140" w:before="280"/>
      </w:pPr>
      <w:r>
        <w:t xml:space="preserve">Module 2: Your Data, Your Duty</w:t>
      </w:r>
    </w:p>
    <w:p>
      <w:pPr>
        <w:spacing w:after="120" w:before="0"/>
      </w:pPr>
      <w:r>
        <w:rPr>
          <w:rFonts w:ascii="Calibri" w:cs="Calibri" w:eastAsia="Calibri" w:hAnsi="Calibri"/>
          <w:color w:val="2D3748"/>
          <w:sz w:val="22"/>
          <w:szCs w:val="22"/>
        </w:rPr>
        <w:t xml:space="preserve">Focus: Define Nonpublic Personal Information (NPI) in practical terms and establish clear do’s and don’ts for data handling. Reinforced through a drag-and-drop interaction.</w:t>
      </w:r>
    </w:p>
    <w:p>
      <w:pPr>
        <w:spacing w:after="0" w:before="8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2.1  </w:t>
            </w:r>
            <w:r>
              <w:rPr>
                <w:rFonts w:ascii="Calibri" w:cs="Calibri" w:eastAsia="Calibri" w:hAnsi="Calibri"/>
                <w:b/>
                <w:bCs/>
                <w:color w:val="FFFFFF"/>
                <w:sz w:val="20"/>
                <w:szCs w:val="20"/>
              </w:rPr>
              <w:t xml:space="preserve">Module Introduction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Title / Hook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Module 2: Your Data, Your Duty | “You can’t protect what you can’t recognize. Let’s make sure you can identify the information that needs protecting.”</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Welcome to Module 2. Now that you understand the regulatory framework, it’s time to get specific. What exactly is Nonpublic Personal Information? And what are you personally responsible for doing—and not doing—to protect it? That’s what this module is all about.</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Module title slide, icon of a shield with a person silhouette inside. Clean minimal layout. Gold accent rule.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~30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2.2  </w:t>
            </w:r>
            <w:r>
              <w:rPr>
                <w:rFonts w:ascii="Calibri" w:cs="Calibri" w:eastAsia="Calibri" w:hAnsi="Calibri"/>
                <w:b/>
                <w:bCs/>
                <w:color w:val="FFFFFF"/>
                <w:sz w:val="20"/>
                <w:szCs w:val="20"/>
              </w:rPr>
              <w:t xml:space="preserve">Defining Nonpublic Personal Information (NPI)</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Content — Informational</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NPI includes three categories of customer information: (1) Information customers provide to you (applications, forms, conversations)—e.g., name, SSN, address, income. (2) Information from customer transactions—e.g., account numbers, balances, transaction history. (3) Information obtained from other sources—e.g., consumer reports, credit history.</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Under Regulation S-P, NPI comes in three main forms. First, information your customers give you directly. Second, information generated by their transactions with your firm. Third, information you obtain from outside sources like credit bureaus.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Three-category diagram with icons: person with speech bubble, transaction receipt, external data source. Each category lists 3–4 specific real-world examples below the icon.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~75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2.3  </w:t>
            </w:r>
            <w:r>
              <w:rPr>
                <w:rFonts w:ascii="Calibri" w:cs="Calibri" w:eastAsia="Calibri" w:hAnsi="Calibri"/>
                <w:b/>
                <w:bCs/>
                <w:color w:val="FFFFFF"/>
                <w:sz w:val="20"/>
                <w:szCs w:val="20"/>
              </w:rPr>
              <w:t xml:space="preserve">NPI Classifier Activity — Drag-and-Drop Interaction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Interaction — Drag-and-Drop</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“Drag each item to the correct category: NPI or NOT NPI. Then click Submit to check your answers.”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Items: NPI</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Account number | Social Security Number | Investment preference history | Account transaction history | Annual income (from application)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Items: Not NPI</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Customer’s name as listed in a public phone directory | Publicly available court records | General financial market news published online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Feedback</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Correct answers: “Right—[item] qualifies as NPI because it was obtained from a transaction / application / outside source.” | Incorrect: “Not quite—let’s look at why [item] is/isn’t NPI.” | All correct: “Excellent work!”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Two large drop zones side by side: ‘NPI’ (navy header) and ‘NOT NPI’ (light gray header). Draggable item cards above. Submit button activates only after all items are placed.</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Storyline Note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Use Freeform Drag-and-Drop question type. Assign correct/incorrect layers with explanatory feedback. Allow one retry attempt.</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~90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2.4  </w:t>
            </w:r>
            <w:r>
              <w:rPr>
                <w:rFonts w:ascii="Calibri" w:cs="Calibri" w:eastAsia="Calibri" w:hAnsi="Calibri"/>
                <w:b/>
                <w:bCs/>
                <w:color w:val="FFFFFF"/>
                <w:sz w:val="20"/>
                <w:szCs w:val="20"/>
              </w:rPr>
              <w:t xml:space="preserve">Your Responsibilities: Do’s and Don’ts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Content — Informational</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DO: Store NPI only in approved, encrypted systems | Share NPI on a need-to-know basis only | Lock your screen when stepping away | Use encrypted email for NPI transmission | Follow the firm’s clean desk policy. DON’T: Email NPI without encryption | Leave printed NPI unattended | Share login credentials | Discuss client data in public areas | Store NPI on personal devices.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Knowing what NPI is matters—but what really counts is how you handle it every day. These aren’t suggestions; they’re requirements under your firm’s Reg S-P compliance program.</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Two-column layout: left column green “Do” items with checkmark icons; right column red “Don’t” items with X icons. Subtle alternating row shading. Icon-row design.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~75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2.5  </w:t>
            </w:r>
            <w:r>
              <w:rPr>
                <w:rFonts w:ascii="Calibri" w:cs="Calibri" w:eastAsia="Calibri" w:hAnsi="Calibri"/>
                <w:b/>
                <w:bCs/>
                <w:color w:val="FFFFFF"/>
                <w:sz w:val="20"/>
                <w:szCs w:val="20"/>
              </w:rPr>
              <w:t xml:space="preserve">Module 2 Summary</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Summary / Formative Check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Key Takeaways: • NPI includes information customers provide, transaction data, and third-party sourced data. • You are personally responsible for handling NPI per firm policy and Reg S-P. • Secure storage, need-to-know sharing, and encrypted transmission are non-negotiable.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Formative Q</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“A colleague asks you to email them a client’s full account statement to prepare a presentation. What should you verify before doing so?” [Single-select; ungraded formative check with explanatory feedback]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By now you should have a solid practical understanding of what NPI is and how to handle it. In Module 3, we shift to a more critical scenario: what happens when something goes wrong—and how do you respond?</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Summary card with three takeaways. Formative question in styled box below with radio-button answer choices.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~60 seconds</w:t>
            </w:r>
          </w:p>
        </w:tc>
      </w:tr>
    </w:tbl>
    <w:p>
      <w:pPr>
        <w:spacing w:after="0" w:before="200"/>
      </w:pPr>
      <w:r>
        <w:rPr>
          <w:sz w:val="2"/>
          <w:szCs w:val="2"/>
        </w:rPr>
        <w:t xml:space="preserve"/>
      </w:r>
    </w:p>
    <w:p>
      <w:pPr>
        <w:pStyle w:val="Heading2"/>
        <w:spacing w:after="140" w:before="280"/>
      </w:pPr>
      <w:r>
        <w:t xml:space="preserve">Module 3: When Things Go Wrong</w:t>
      </w:r>
    </w:p>
    <w:p>
      <w:pPr>
        <w:spacing w:after="120" w:before="0"/>
      </w:pPr>
      <w:r>
        <w:rPr>
          <w:rFonts w:ascii="Calibri" w:cs="Calibri" w:eastAsia="Calibri" w:hAnsi="Calibri"/>
          <w:color w:val="2D3748"/>
          <w:sz w:val="22"/>
          <w:szCs w:val="22"/>
        </w:rPr>
        <w:t xml:space="preserve">Focus: Equip learners to recognize privacy incidents and respond correctly—anchored by a realistic branching decision scenario.</w:t>
      </w:r>
    </w:p>
    <w:p>
      <w:pPr>
        <w:spacing w:after="0" w:before="8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3.1  </w:t>
            </w:r>
            <w:r>
              <w:rPr>
                <w:rFonts w:ascii="Calibri" w:cs="Calibri" w:eastAsia="Calibri" w:hAnsi="Calibri"/>
                <w:b/>
                <w:bCs/>
                <w:color w:val="FFFFFF"/>
                <w:sz w:val="20"/>
                <w:szCs w:val="20"/>
              </w:rPr>
              <w:t xml:space="preserve">Module Introduction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Title / Hook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Module 3: When Things Go Wrong | “Privacy incidents don’t always look like hacking movies. Most happen through everyday mistakes—and knowing how to respond is just as important as preventing them.”</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Welcome to Module 3. No matter how careful we are, data privacy incidents can and do happen. In this module you’ll learn to recognize the warning signs of a potential incident and—critically—what to do when one occurs. We’ll test your judgment with a realistic scenario before the module is over.</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Module title with subtle alert/warning icon motif. Dark navy accent panel on left, white content area on right.</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~30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3.2  </w:t>
            </w:r>
            <w:r>
              <w:rPr>
                <w:rFonts w:ascii="Calibri" w:cs="Calibri" w:eastAsia="Calibri" w:hAnsi="Calibri"/>
                <w:b/>
                <w:bCs/>
                <w:color w:val="FFFFFF"/>
                <w:sz w:val="20"/>
                <w:szCs w:val="20"/>
              </w:rPr>
              <w:t xml:space="preserve">Recognizing a Privacy Incident</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Content — Informational</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Warning Signs: • Misdirected email containing NPI (sent to wrong person) • Unauthorized access to a client account (login from unknown location) • Lost or stolen device containing client data • Suspicious request to send client information to an unfamiliar contact or address • Colleague asking for client data outside normal workflow • System alert indicating unusual data access patterns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Privacy incidents don’t always announce themselves. Here are the most common warning signs that something may have gone wrong—or is about to. If you encounter any of these, do not try to handle it yourself. Report it immediately through the proper channel.</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Icon-row layout: six warning signs, each with a subtle red-left-border accent, alert icon, bold label, and one-line description.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~60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3.3  </w:t>
            </w:r>
            <w:r>
              <w:rPr>
                <w:rFonts w:ascii="Calibri" w:cs="Calibri" w:eastAsia="Calibri" w:hAnsi="Calibri"/>
                <w:b/>
                <w:bCs/>
                <w:color w:val="FFFFFF"/>
                <w:sz w:val="20"/>
                <w:szCs w:val="20"/>
              </w:rPr>
              <w:t xml:space="preserve">Branching Scenario: What Would You Do?</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Interaction — Branching Scenario</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Setup</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Simulated email inbox UI. Learner sees an email that appears to be from a known client requesting their full account statement be forwarded to a new email address. The address is subtly wrong (client name + numbers at a free email domain).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Choice A</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“Forward the statement to the address in the email.” → INCORRECT: Consequence screen shows the address was fraudulent; client NPI was compromised. Shows regulatory, client, and reputational impact. Try Again button returns to choice.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Choice B</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“Verify the request by calling the client at the number on file before taking any action.” → CORRECT: Screen shows learner discovers the email was not from the client. Incident averted. Positive reinforcement with explanation of why verification is critical.</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Here’s a situation that requires your judgment. Read the email carefully, then choose the action you would take. Your choice has real consequences—think before you click.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Realistic email client UI (custom Storyline graphic). Two choice buttons styled below the email. Consequence screen uses subtle red background tint; success screen uses subtle green tint.</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Storyline Note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Use slide layers or linked slides for branching. Both paths rejoin at Screen 3.4. Optional: track path taken via string variable for reporting.</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~120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3.4  </w:t>
            </w:r>
            <w:r>
              <w:rPr>
                <w:rFonts w:ascii="Calibri" w:cs="Calibri" w:eastAsia="Calibri" w:hAnsi="Calibri"/>
                <w:b/>
                <w:bCs/>
                <w:color w:val="FFFFFF"/>
                <w:sz w:val="20"/>
                <w:szCs w:val="20"/>
              </w:rPr>
              <w:t xml:space="preserve">Incident Response: The 5 Steps</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Content — Informational</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(1) IDENTIFY — Recognize that an incident may have occurred. Document what you observed. (2) CONTAIN — Do not forward, copy, or share further. Isolate the issue. (3) REPORT — Immediately notify your manager AND your firm’s Privacy Officer or Compliance Helpline. (4) ASSESS — Work with compliance to determine scope: what data, how many clients, what risk? (5) REMEDIATE — Follow Compliance team guidance on notification, documentation, and corrective action.</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Whether you discovered a misdirected email, a suspicious access request, or a missing device—your response follows the same five steps. Identify, Contain, Report, Assess, Remediate. The most important thing: don’t delay reporting. The sooner you report, the better the outcome for everyone.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Five-step horizontal flow diagram with numbered circles connected by arrows. Each step has icon, bold step name, and two-line description. Clean wide layout on white.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~75 seconds</w:t>
            </w:r>
          </w:p>
        </w:tc>
      </w:tr>
    </w:tbl>
    <w:p>
      <w:pPr>
        <w:spacing w:after="0" w:before="10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800"/>
        <w:gridCol w:w="7440"/>
      </w:tblGrid>
      <w:tr>
        <w:tc>
          <w:tcPr>
            <w:tcW w:type="dxa" w:w="9240"/>
            <w:gridSpan w:val="2"/>
            <w:tcBorders>
              <w:top w:val="single" w:color="E2E8F0" w:sz="1"/>
              <w:left w:val="single" w:color="E2E8F0" w:sz="1"/>
              <w:bottom w:val="single" w:color="E2E8F0" w:sz="1"/>
              <w:right w:val="single" w:color="E2E8F0" w:sz="1"/>
            </w:tcBorders>
            <w:shd w:fill="1B2A4A" w:val="clear"/>
            <w:tcMar>
              <w:top w:type="dxa" w:w="100"/>
              <w:left w:type="dxa" w:w="120"/>
              <w:bottom w:type="dxa" w:w="100"/>
              <w:right w:type="dxa" w:w="120"/>
            </w:tcMar>
          </w:tcPr>
          <w:p>
            <w:r>
              <w:rPr>
                <w:rFonts w:ascii="Calibri" w:cs="Calibri" w:eastAsia="Calibri" w:hAnsi="Calibri"/>
                <w:b/>
                <w:bCs/>
                <w:color w:val="C9A84C"/>
                <w:sz w:val="20"/>
                <w:szCs w:val="20"/>
              </w:rPr>
              <w:t xml:space="preserve">Screen 3.5  </w:t>
            </w:r>
            <w:r>
              <w:rPr>
                <w:rFonts w:ascii="Calibri" w:cs="Calibri" w:eastAsia="Calibri" w:hAnsi="Calibri"/>
                <w:b/>
                <w:bCs/>
                <w:color w:val="FFFFFF"/>
                <w:sz w:val="20"/>
                <w:szCs w:val="20"/>
              </w:rPr>
              <w:t xml:space="preserve">Module 3 Summary &amp; Bridge to Knowledge Check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Screen Type</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Summary / Course Bridge</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On-Screen Text</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Key Takeaways: • Most privacy incidents are avoidable—but you need to recognize the warning signs. • When in doubt, verify before acting. Never forward NPI based on an unverified request. • If an incident occurs: Identify → Contain → Report → Assess → Remediate. | “You’ve completed all three modules. Up next: a short knowledge check.”</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Narration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That’s the end of Module 3 and the end of our content. You now have a complete picture of your data privacy obligations under Reg S-P and FINRA Rule 4370, what NPI looks like in practice, and how to respond if something goes wrong. Let’s put that knowledge to the test.</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Visual</w:t>
            </w:r>
          </w:p>
        </w:tc>
        <w:tc>
          <w:tcPr>
            <w:tcW w:type="dxa" w:w="74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Summary card with three takeaway blocks. Prominent ‘Start Knowledge Check’ button with gold styling at bottom.</w:t>
            </w:r>
          </w:p>
        </w:tc>
      </w:tr>
      <w:tr>
        <w:tc>
          <w:tcPr>
            <w:tcW w:type="dxa" w:w="18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19"/>
                <w:szCs w:val="19"/>
              </w:rPr>
              <w:t xml:space="preserve">Est. Duration</w:t>
            </w:r>
          </w:p>
        </w:tc>
        <w:tc>
          <w:tcPr>
            <w:tcW w:type="dxa" w:w="74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~45 seconds</w:t>
            </w:r>
          </w:p>
        </w:tc>
      </w:tr>
    </w:tbl>
    <w:p>
      <w:r>
        <w:br w:type="page"/>
      </w:r>
    </w:p>
    <w:p>
      <w:pPr>
        <w:pStyle w:val="Heading1"/>
        <w:spacing w:after="200" w:before="360"/>
      </w:pPr>
      <w:bookmarkStart w:name="s7" w:id="1"/>
      <w:r>
        <w:t xml:space="preserve">7.  Assessment Strategy</w:t>
      </w:r>
      <w:bookmarkEnd w:id="1"/>
    </w:p>
    <w:p>
      <w:pPr>
        <w:pStyle w:val="Heading2"/>
        <w:spacing w:after="140" w:before="280"/>
      </w:pPr>
      <w:r>
        <w:t xml:space="preserve">Knowledge Check Overview</w:t>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2200"/>
        <w:gridCol w:w="7040"/>
      </w:tblGrid>
      <w:tr>
        <w:tc>
          <w:tcPr>
            <w:tcW w:type="dxa" w:w="9240"/>
            <w:gridSpan w:val="2"/>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22"/>
                <w:szCs w:val="22"/>
              </w:rPr>
              <w:t xml:space="preserve">Knowledge Check Specifications</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Format</w:t>
            </w:r>
          </w:p>
        </w:tc>
        <w:tc>
          <w:tcPr>
            <w:tcW w:type="dxa" w:w="70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5 multiple-choice questions (single select), randomized order</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Pass Threshold</w:t>
            </w:r>
          </w:p>
        </w:tc>
        <w:tc>
          <w:tcPr>
            <w:tcW w:type="dxa" w:w="70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80% — learner must answer 4 of 5 questions correctly</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Attempts</w:t>
            </w:r>
          </w:p>
        </w:tc>
        <w:tc>
          <w:tcPr>
            <w:tcW w:type="dxa" w:w="70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Two attempts allowed. On second failure, learner is directed to restart from Module 1 for remediation.</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Feedback</w:t>
            </w:r>
          </w:p>
        </w:tc>
        <w:tc>
          <w:tcPr>
            <w:tcW w:type="dxa" w:w="70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Immediate feedback after each question: correct answer acknowledged; incorrect answer explained.</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Tracking</w:t>
            </w:r>
          </w:p>
        </w:tc>
        <w:tc>
          <w:tcPr>
            <w:tcW w:type="dxa" w:w="70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Score and completion status reported to LMS via SCORM 2004; time-on-task also captured.</w:t>
            </w:r>
          </w:p>
        </w:tc>
      </w:tr>
      <w:tr>
        <w:tc>
          <w:tcPr>
            <w:tcW w:type="dxa" w:w="22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b/>
                <w:bCs/>
                <w:color w:val="1B2A4A"/>
                <w:sz w:val="20"/>
                <w:szCs w:val="20"/>
              </w:rPr>
              <w:t xml:space="preserve">Coverage</w:t>
            </w:r>
          </w:p>
        </w:tc>
        <w:tc>
          <w:tcPr>
            <w:tcW w:type="dxa" w:w="70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One question per module topic, plus one synthesizing question spanning all three modules.</w:t>
            </w:r>
          </w:p>
        </w:tc>
      </w:tr>
    </w:tbl>
    <w:p>
      <w:pPr>
        <w:spacing w:after="0" w:before="120"/>
      </w:pPr>
      <w:r>
        <w:rPr>
          <w:sz w:val="2"/>
          <w:szCs w:val="2"/>
        </w:rPr>
        <w:t xml:space="preserve"/>
      </w:r>
    </w:p>
    <w:p>
      <w:pPr>
        <w:pStyle w:val="Heading2"/>
        <w:spacing w:after="140" w:before="280"/>
      </w:pPr>
      <w:r>
        <w:t xml:space="preserve">Sample Assessment Questions</w:t>
      </w:r>
    </w:p>
    <w:p>
      <w:pPr>
        <w:pStyle w:val="Heading3"/>
        <w:spacing w:after="100" w:before="200"/>
      </w:pPr>
      <w:r>
        <w:t xml:space="preserve">Q1 — Regulation S-P (Module 1)</w:t>
      </w:r>
    </w:p>
    <w:p>
      <w:pPr>
        <w:spacing w:after="120" w:before="0"/>
      </w:pPr>
      <w:r>
        <w:rPr>
          <w:rFonts w:ascii="Calibri" w:cs="Calibri" w:eastAsia="Calibri" w:hAnsi="Calibri"/>
          <w:color w:val="2D3748"/>
          <w:sz w:val="22"/>
          <w:szCs w:val="22"/>
        </w:rPr>
        <w:t xml:space="preserve">Under Regulation S-P, which of the following is a required element of a firm’s Safeguards Program?</w:t>
      </w:r>
    </w:p>
    <w:p>
      <w:pPr>
        <w:pStyle w:val="ListParagraph"/>
        <w:numPr>
          <w:ilvl w:val="0"/>
          <w:numId w:val="2"/>
        </w:numPr>
        <w:spacing w:after="80" w:before="0"/>
      </w:pPr>
      <w:r>
        <w:rPr>
          <w:rFonts w:ascii="Calibri" w:cs="Calibri" w:eastAsia="Calibri" w:hAnsi="Calibri"/>
          <w:color w:val="2D3748"/>
          <w:sz w:val="22"/>
          <w:szCs w:val="22"/>
        </w:rPr>
        <w:t xml:space="preserve">A.  An annual third-party cybersecurity penetration test</w:t>
      </w:r>
    </w:p>
    <w:p>
      <w:pPr>
        <w:pStyle w:val="ListParagraph"/>
        <w:numPr>
          <w:ilvl w:val="0"/>
          <w:numId w:val="2"/>
        </w:numPr>
        <w:spacing w:after="80" w:before="0"/>
      </w:pPr>
      <w:r>
        <w:rPr>
          <w:rFonts w:ascii="Calibri" w:cs="Calibri" w:eastAsia="Calibri" w:hAnsi="Calibri"/>
          <w:color w:val="2D3748"/>
          <w:sz w:val="22"/>
          <w:szCs w:val="22"/>
        </w:rPr>
        <w:t xml:space="preserve">B.  A written information security program with employee training and service provider oversight  ✓ CORRECT</w:t>
      </w:r>
    </w:p>
    <w:p>
      <w:pPr>
        <w:pStyle w:val="ListParagraph"/>
        <w:numPr>
          <w:ilvl w:val="0"/>
          <w:numId w:val="2"/>
        </w:numPr>
        <w:spacing w:after="80" w:before="0"/>
      </w:pPr>
      <w:r>
        <w:rPr>
          <w:rFonts w:ascii="Calibri" w:cs="Calibri" w:eastAsia="Calibri" w:hAnsi="Calibri"/>
          <w:color w:val="2D3748"/>
          <w:sz w:val="22"/>
          <w:szCs w:val="22"/>
        </w:rPr>
        <w:t xml:space="preserve">C.  A dedicated data privacy officer in every branch office</w:t>
      </w:r>
    </w:p>
    <w:p>
      <w:pPr>
        <w:pStyle w:val="ListParagraph"/>
        <w:numPr>
          <w:ilvl w:val="0"/>
          <w:numId w:val="2"/>
        </w:numPr>
        <w:spacing w:after="80" w:before="0"/>
      </w:pPr>
      <w:r>
        <w:rPr>
          <w:rFonts w:ascii="Calibri" w:cs="Calibri" w:eastAsia="Calibri" w:hAnsi="Calibri"/>
          <w:color w:val="2D3748"/>
          <w:sz w:val="22"/>
          <w:szCs w:val="22"/>
        </w:rPr>
        <w:t xml:space="preserve">D.  Real-time monitoring of all employee email communications</w:t>
      </w:r>
    </w:p>
    <w:p>
      <w:pPr>
        <w:spacing w:after="0" w:before="80"/>
      </w:pPr>
      <w:r>
        <w:rPr>
          <w:sz w:val="2"/>
          <w:szCs w:val="2"/>
        </w:rPr>
        <w:t xml:space="preserve"/>
      </w:r>
    </w:p>
    <w:p>
      <w:pPr>
        <w:pStyle w:val="Heading3"/>
        <w:spacing w:after="100" w:before="200"/>
      </w:pPr>
      <w:r>
        <w:t xml:space="preserve">Q2 — Defining NPI (Module 2)</w:t>
      </w:r>
    </w:p>
    <w:p>
      <w:pPr>
        <w:spacing w:after="120" w:before="0"/>
      </w:pPr>
      <w:r>
        <w:rPr>
          <w:rFonts w:ascii="Calibri" w:cs="Calibri" w:eastAsia="Calibri" w:hAnsi="Calibri"/>
          <w:color w:val="2D3748"/>
          <w:sz w:val="22"/>
          <w:szCs w:val="22"/>
        </w:rPr>
        <w:t xml:space="preserve">Which of the following is an example of Nonpublic Personal Information (NPI) under Regulation S-P?</w:t>
      </w:r>
    </w:p>
    <w:p>
      <w:pPr>
        <w:pStyle w:val="ListParagraph"/>
        <w:numPr>
          <w:ilvl w:val="0"/>
          <w:numId w:val="2"/>
        </w:numPr>
        <w:spacing w:after="80" w:before="0"/>
      </w:pPr>
      <w:r>
        <w:rPr>
          <w:rFonts w:ascii="Calibri" w:cs="Calibri" w:eastAsia="Calibri" w:hAnsi="Calibri"/>
          <w:color w:val="2D3748"/>
          <w:sz w:val="22"/>
          <w:szCs w:val="22"/>
        </w:rPr>
        <w:t xml:space="preserve">A.  A customer’s name as it appears in a public phone directory</w:t>
      </w:r>
    </w:p>
    <w:p>
      <w:pPr>
        <w:pStyle w:val="ListParagraph"/>
        <w:numPr>
          <w:ilvl w:val="0"/>
          <w:numId w:val="2"/>
        </w:numPr>
        <w:spacing w:after="80" w:before="0"/>
      </w:pPr>
      <w:r>
        <w:rPr>
          <w:rFonts w:ascii="Calibri" w:cs="Calibri" w:eastAsia="Calibri" w:hAnsi="Calibri"/>
          <w:color w:val="2D3748"/>
          <w:sz w:val="22"/>
          <w:szCs w:val="22"/>
        </w:rPr>
        <w:t xml:space="preserve">B.  A customer’s account balance and transaction history  ✓ CORRECT</w:t>
      </w:r>
    </w:p>
    <w:p>
      <w:pPr>
        <w:pStyle w:val="ListParagraph"/>
        <w:numPr>
          <w:ilvl w:val="0"/>
          <w:numId w:val="2"/>
        </w:numPr>
        <w:spacing w:after="80" w:before="0"/>
      </w:pPr>
      <w:r>
        <w:rPr>
          <w:rFonts w:ascii="Calibri" w:cs="Calibri" w:eastAsia="Calibri" w:hAnsi="Calibri"/>
          <w:color w:val="2D3748"/>
          <w:sz w:val="22"/>
          <w:szCs w:val="22"/>
        </w:rPr>
        <w:t xml:space="preserve">C.  The general interest rate environment reported in financial news</w:t>
      </w:r>
    </w:p>
    <w:p>
      <w:pPr>
        <w:pStyle w:val="ListParagraph"/>
        <w:numPr>
          <w:ilvl w:val="0"/>
          <w:numId w:val="2"/>
        </w:numPr>
        <w:spacing w:after="80" w:before="0"/>
      </w:pPr>
      <w:r>
        <w:rPr>
          <w:rFonts w:ascii="Calibri" w:cs="Calibri" w:eastAsia="Calibri" w:hAnsi="Calibri"/>
          <w:color w:val="2D3748"/>
          <w:sz w:val="22"/>
          <w:szCs w:val="22"/>
        </w:rPr>
        <w:t xml:space="preserve">D.  The firm’s published fee schedule</w:t>
      </w:r>
    </w:p>
    <w:p>
      <w:pPr>
        <w:spacing w:after="0" w:before="80"/>
      </w:pPr>
      <w:r>
        <w:rPr>
          <w:sz w:val="2"/>
          <w:szCs w:val="2"/>
        </w:rPr>
        <w:t xml:space="preserve"/>
      </w:r>
    </w:p>
    <w:p>
      <w:pPr>
        <w:pStyle w:val="Heading3"/>
        <w:spacing w:after="100" w:before="200"/>
      </w:pPr>
      <w:r>
        <w:t xml:space="preserve">Q3 — NPI Handling (Module 2)</w:t>
      </w:r>
    </w:p>
    <w:p>
      <w:pPr>
        <w:spacing w:after="120" w:before="0"/>
      </w:pPr>
      <w:r>
        <w:rPr>
          <w:rFonts w:ascii="Calibri" w:cs="Calibri" w:eastAsia="Calibri" w:hAnsi="Calibri"/>
          <w:color w:val="2D3748"/>
          <w:sz w:val="22"/>
          <w:szCs w:val="22"/>
        </w:rPr>
        <w:t xml:space="preserve">Which practice is compliant with Reg S-P when transmitting client account information to a colleague?</w:t>
      </w:r>
    </w:p>
    <w:p>
      <w:pPr>
        <w:pStyle w:val="ListParagraph"/>
        <w:numPr>
          <w:ilvl w:val="0"/>
          <w:numId w:val="2"/>
        </w:numPr>
        <w:spacing w:after="80" w:before="0"/>
      </w:pPr>
      <w:r>
        <w:rPr>
          <w:rFonts w:ascii="Calibri" w:cs="Calibri" w:eastAsia="Calibri" w:hAnsi="Calibri"/>
          <w:color w:val="2D3748"/>
          <w:sz w:val="22"/>
          <w:szCs w:val="22"/>
        </w:rPr>
        <w:t xml:space="preserve">A.  Sending the information via personal email for convenience</w:t>
      </w:r>
    </w:p>
    <w:p>
      <w:pPr>
        <w:pStyle w:val="ListParagraph"/>
        <w:numPr>
          <w:ilvl w:val="0"/>
          <w:numId w:val="2"/>
        </w:numPr>
        <w:spacing w:after="80" w:before="0"/>
      </w:pPr>
      <w:r>
        <w:rPr>
          <w:rFonts w:ascii="Calibri" w:cs="Calibri" w:eastAsia="Calibri" w:hAnsi="Calibri"/>
          <w:color w:val="2D3748"/>
          <w:sz w:val="22"/>
          <w:szCs w:val="22"/>
        </w:rPr>
        <w:t xml:space="preserve">B.  Printing the data and placing it in an interoffice envelope</w:t>
      </w:r>
    </w:p>
    <w:p>
      <w:pPr>
        <w:pStyle w:val="ListParagraph"/>
        <w:numPr>
          <w:ilvl w:val="0"/>
          <w:numId w:val="2"/>
        </w:numPr>
        <w:spacing w:after="80" w:before="0"/>
      </w:pPr>
      <w:r>
        <w:rPr>
          <w:rFonts w:ascii="Calibri" w:cs="Calibri" w:eastAsia="Calibri" w:hAnsi="Calibri"/>
          <w:color w:val="2D3748"/>
          <w:sz w:val="22"/>
          <w:szCs w:val="22"/>
        </w:rPr>
        <w:t xml:space="preserve">C.  Using the firm’s approved encrypted email system  ✓ CORRECT</w:t>
      </w:r>
    </w:p>
    <w:p>
      <w:pPr>
        <w:pStyle w:val="ListParagraph"/>
        <w:numPr>
          <w:ilvl w:val="0"/>
          <w:numId w:val="2"/>
        </w:numPr>
        <w:spacing w:after="80" w:before="0"/>
      </w:pPr>
      <w:r>
        <w:rPr>
          <w:rFonts w:ascii="Calibri" w:cs="Calibri" w:eastAsia="Calibri" w:hAnsi="Calibri"/>
          <w:color w:val="2D3748"/>
          <w:sz w:val="22"/>
          <w:szCs w:val="22"/>
        </w:rPr>
        <w:t xml:space="preserve">D.  Sharing login credentials to access the client portal together</w:t>
      </w:r>
    </w:p>
    <w:p>
      <w:pPr>
        <w:spacing w:after="0" w:before="80"/>
      </w:pPr>
      <w:r>
        <w:rPr>
          <w:sz w:val="2"/>
          <w:szCs w:val="2"/>
        </w:rPr>
        <w:t xml:space="preserve"/>
      </w:r>
    </w:p>
    <w:p>
      <w:pPr>
        <w:pStyle w:val="Heading3"/>
        <w:spacing w:after="100" w:before="200"/>
      </w:pPr>
      <w:r>
        <w:t xml:space="preserve">Q4 — Incident Recognition (Module 3)</w:t>
      </w:r>
    </w:p>
    <w:p>
      <w:pPr>
        <w:spacing w:after="120" w:before="0"/>
      </w:pPr>
      <w:r>
        <w:rPr>
          <w:rFonts w:ascii="Calibri" w:cs="Calibri" w:eastAsia="Calibri" w:hAnsi="Calibri"/>
          <w:color w:val="2D3748"/>
          <w:sz w:val="22"/>
          <w:szCs w:val="22"/>
        </w:rPr>
        <w:t xml:space="preserve">You notice that an email containing a client’s Social Security Number was sent to an incorrect email address. What should you do first?</w:t>
      </w:r>
    </w:p>
    <w:p>
      <w:pPr>
        <w:pStyle w:val="ListParagraph"/>
        <w:numPr>
          <w:ilvl w:val="0"/>
          <w:numId w:val="2"/>
        </w:numPr>
        <w:spacing w:after="80" w:before="0"/>
      </w:pPr>
      <w:r>
        <w:rPr>
          <w:rFonts w:ascii="Calibri" w:cs="Calibri" w:eastAsia="Calibri" w:hAnsi="Calibri"/>
          <w:color w:val="2D3748"/>
          <w:sz w:val="22"/>
          <w:szCs w:val="22"/>
        </w:rPr>
        <w:t xml:space="preserve">A.  Send a follow-up email to the incorrect address asking them to delete it</w:t>
      </w:r>
    </w:p>
    <w:p>
      <w:pPr>
        <w:pStyle w:val="ListParagraph"/>
        <w:numPr>
          <w:ilvl w:val="0"/>
          <w:numId w:val="2"/>
        </w:numPr>
        <w:spacing w:after="80" w:before="0"/>
      </w:pPr>
      <w:r>
        <w:rPr>
          <w:rFonts w:ascii="Calibri" w:cs="Calibri" w:eastAsia="Calibri" w:hAnsi="Calibri"/>
          <w:color w:val="2D3748"/>
          <w:sz w:val="22"/>
          <w:szCs w:val="22"/>
        </w:rPr>
        <w:t xml:space="preserve">B.  Wait to see if the recipient responds before taking further action</w:t>
      </w:r>
    </w:p>
    <w:p>
      <w:pPr>
        <w:pStyle w:val="ListParagraph"/>
        <w:numPr>
          <w:ilvl w:val="0"/>
          <w:numId w:val="2"/>
        </w:numPr>
        <w:spacing w:after="80" w:before="0"/>
      </w:pPr>
      <w:r>
        <w:rPr>
          <w:rFonts w:ascii="Calibri" w:cs="Calibri" w:eastAsia="Calibri" w:hAnsi="Calibri"/>
          <w:color w:val="2D3748"/>
          <w:sz w:val="22"/>
          <w:szCs w:val="22"/>
        </w:rPr>
        <w:t xml:space="preserve">C.  Immediately report the incident to your manager and the firm’s Privacy Officer  ✓ CORRECT</w:t>
      </w:r>
    </w:p>
    <w:p>
      <w:pPr>
        <w:pStyle w:val="ListParagraph"/>
        <w:numPr>
          <w:ilvl w:val="0"/>
          <w:numId w:val="2"/>
        </w:numPr>
        <w:spacing w:after="80" w:before="0"/>
      </w:pPr>
      <w:r>
        <w:rPr>
          <w:rFonts w:ascii="Calibri" w:cs="Calibri" w:eastAsia="Calibri" w:hAnsi="Calibri"/>
          <w:color w:val="2D3748"/>
          <w:sz w:val="22"/>
          <w:szCs w:val="22"/>
        </w:rPr>
        <w:t xml:space="preserve">D.  Forward the original email to the correct recipient and consider the matter resolved</w:t>
      </w:r>
    </w:p>
    <w:p>
      <w:pPr>
        <w:spacing w:after="0" w:before="80"/>
      </w:pPr>
      <w:r>
        <w:rPr>
          <w:sz w:val="2"/>
          <w:szCs w:val="2"/>
        </w:rPr>
        <w:t xml:space="preserve"/>
      </w:r>
    </w:p>
    <w:p>
      <w:pPr>
        <w:pStyle w:val="Heading3"/>
        <w:spacing w:after="100" w:before="200"/>
      </w:pPr>
      <w:r>
        <w:t xml:space="preserve">Q5 — Synthesis (All Modules)</w:t>
      </w:r>
    </w:p>
    <w:p>
      <w:pPr>
        <w:spacing w:after="120" w:before="0"/>
      </w:pPr>
      <w:r>
        <w:rPr>
          <w:rFonts w:ascii="Calibri" w:cs="Calibri" w:eastAsia="Calibri" w:hAnsi="Calibri"/>
          <w:color w:val="2D3748"/>
          <w:sz w:val="22"/>
          <w:szCs w:val="22"/>
        </w:rPr>
        <w:t xml:space="preserve">Which best describes a firm’s obligations under both Regulation S-P and FINRA Rule 4370?</w:t>
      </w:r>
    </w:p>
    <w:p>
      <w:pPr>
        <w:pStyle w:val="ListParagraph"/>
        <w:numPr>
          <w:ilvl w:val="0"/>
          <w:numId w:val="2"/>
        </w:numPr>
        <w:spacing w:after="80" w:before="0"/>
      </w:pPr>
      <w:r>
        <w:rPr>
          <w:rFonts w:ascii="Calibri" w:cs="Calibri" w:eastAsia="Calibri" w:hAnsi="Calibri"/>
          <w:color w:val="2D3748"/>
          <w:sz w:val="22"/>
          <w:szCs w:val="22"/>
        </w:rPr>
        <w:t xml:space="preserve">A.  Reg S-P focuses on marketing disclosures; FINRA Rule 4370 covers cybersecurity only</w:t>
      </w:r>
    </w:p>
    <w:p>
      <w:pPr>
        <w:pStyle w:val="ListParagraph"/>
        <w:numPr>
          <w:ilvl w:val="0"/>
          <w:numId w:val="2"/>
        </w:numPr>
        <w:spacing w:after="80" w:before="0"/>
      </w:pPr>
      <w:r>
        <w:rPr>
          <w:rFonts w:ascii="Calibri" w:cs="Calibri" w:eastAsia="Calibri" w:hAnsi="Calibri"/>
          <w:color w:val="2D3748"/>
          <w:sz w:val="22"/>
          <w:szCs w:val="22"/>
        </w:rPr>
        <w:t xml:space="preserve">B.  Reg S-P requires privacy notices and a safeguards program; FINRA Rule 4370 requires a business continuity plan that addresses data protection  ✓ CORRECT</w:t>
      </w:r>
    </w:p>
    <w:p>
      <w:pPr>
        <w:pStyle w:val="ListParagraph"/>
        <w:numPr>
          <w:ilvl w:val="0"/>
          <w:numId w:val="2"/>
        </w:numPr>
        <w:spacing w:after="80" w:before="0"/>
      </w:pPr>
      <w:r>
        <w:rPr>
          <w:rFonts w:ascii="Calibri" w:cs="Calibri" w:eastAsia="Calibri" w:hAnsi="Calibri"/>
          <w:color w:val="2D3748"/>
          <w:sz w:val="22"/>
          <w:szCs w:val="22"/>
        </w:rPr>
        <w:t xml:space="preserve">C.  Both rules apply only to broker-dealers, not investment advisers</w:t>
      </w:r>
    </w:p>
    <w:p>
      <w:pPr>
        <w:pStyle w:val="ListParagraph"/>
        <w:numPr>
          <w:ilvl w:val="0"/>
          <w:numId w:val="2"/>
        </w:numPr>
        <w:spacing w:after="80" w:before="0"/>
      </w:pPr>
      <w:r>
        <w:rPr>
          <w:rFonts w:ascii="Calibri" w:cs="Calibri" w:eastAsia="Calibri" w:hAnsi="Calibri"/>
          <w:color w:val="2D3748"/>
          <w:sz w:val="22"/>
          <w:szCs w:val="22"/>
        </w:rPr>
        <w:t xml:space="preserve">D.  FINRA Rule 4370 supersedes Reg S-P for all member firms</w:t>
      </w:r>
    </w:p>
    <w:p>
      <w:r>
        <w:br w:type="page"/>
      </w:r>
    </w:p>
    <w:p>
      <w:pPr>
        <w:pStyle w:val="Heading1"/>
        <w:spacing w:after="200" w:before="360"/>
      </w:pPr>
      <w:bookmarkStart w:name="s8" w:id="1"/>
      <w:r>
        <w:t xml:space="preserve">8.  Interactive Elements Specification</w:t>
      </w:r>
      <w:bookmarkEnd w:id="1"/>
    </w:p>
    <w:p>
      <w:pPr>
        <w:spacing w:after="0" w:before="80"/>
      </w:pPr>
      <w:r>
        <w:rPr>
          <w:sz w:val="2"/>
          <w:szCs w:val="2"/>
        </w:rPr>
        <w:t xml:space="preserve"/>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500"/>
        <w:gridCol w:w="1700"/>
        <w:gridCol w:w="1800"/>
        <w:gridCol w:w="2040"/>
        <w:gridCol w:w="2200"/>
      </w:tblGrid>
      <w:tr>
        <w:tc>
          <w:tcPr>
            <w:tcW w:type="dxa" w:w="15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Location</w:t>
            </w:r>
          </w:p>
        </w:tc>
        <w:tc>
          <w:tcPr>
            <w:tcW w:type="dxa" w:w="17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Type</w:t>
            </w:r>
          </w:p>
        </w:tc>
        <w:tc>
          <w:tcPr>
            <w:tcW w:type="dxa" w:w="18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Purpose</w:t>
            </w:r>
          </w:p>
        </w:tc>
        <w:tc>
          <w:tcPr>
            <w:tcW w:type="dxa" w:w="204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Mechanics</w:t>
            </w:r>
          </w:p>
        </w:tc>
        <w:tc>
          <w:tcPr>
            <w:tcW w:type="dxa" w:w="22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Storyline Build</w:t>
            </w:r>
          </w:p>
        </w:tc>
      </w:tr>
      <w:tr>
        <w:tc>
          <w:tcPr>
            <w:tcW w:type="dxa" w:w="15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M1 — Screen 1.3</w:t>
            </w:r>
          </w:p>
        </w:tc>
        <w:tc>
          <w:tcPr>
            <w:tcW w:type="dxa" w:w="17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Click-to-Reveal Cards</w:t>
            </w:r>
          </w:p>
        </w:tc>
        <w:tc>
          <w:tcPr>
            <w:tcW w:type="dxa" w:w="18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Explore Reg S-P obligations at own pace</w:t>
            </w:r>
          </w:p>
        </w:tc>
        <w:tc>
          <w:tcPr>
            <w:tcW w:type="dxa" w:w="204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4 cards in 2×2 grid; click each to reveal detail; all 4 must be clicked to proceed</w:t>
            </w:r>
          </w:p>
        </w:tc>
        <w:tc>
          <w:tcPr>
            <w:tcW w:type="dxa" w:w="22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Show Layer per card; integer variable CardCount; Enable Continue at count = 4</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M2 — Screen 2.3</w:t>
            </w:r>
          </w:p>
        </w:tc>
        <w:tc>
          <w:tcPr>
            <w:tcW w:type="dxa" w:w="17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Drag-and-Drop Classifier</w:t>
            </w:r>
          </w:p>
        </w:tc>
        <w:tc>
          <w:tcPr>
            <w:tcW w:type="dxa" w:w="18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Distinguish NPI from non-NPI using real examples</w:t>
            </w:r>
          </w:p>
        </w:tc>
        <w:tc>
          <w:tcPr>
            <w:tcW w:type="dxa" w:w="204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8 items dragged to 2 drop zones; feedback on Submit; one retry</w:t>
            </w:r>
          </w:p>
        </w:tc>
        <w:tc>
          <w:tcPr>
            <w:tcW w:type="dxa" w:w="22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Freeform Drag-and-Drop; correct/incorrect layer feedback; allow retry</w:t>
            </w:r>
          </w:p>
        </w:tc>
      </w:tr>
      <w:tr>
        <w:tc>
          <w:tcPr>
            <w:tcW w:type="dxa" w:w="15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M3 — Screen 3.3</w:t>
            </w:r>
          </w:p>
        </w:tc>
        <w:tc>
          <w:tcPr>
            <w:tcW w:type="dxa" w:w="17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Branching Scenario</w:t>
            </w:r>
          </w:p>
        </w:tc>
        <w:tc>
          <w:tcPr>
            <w:tcW w:type="dxa" w:w="18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Apply judgment in a real social engineering scenario</w:t>
            </w:r>
          </w:p>
        </w:tc>
        <w:tc>
          <w:tcPr>
            <w:tcW w:type="dxa" w:w="204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Email simulation UI; 2 choices; incorrect path shows consequences + retry; both paths rejoin</w:t>
            </w:r>
          </w:p>
        </w:tc>
        <w:tc>
          <w:tcPr>
            <w:tcW w:type="dxa" w:w="2200"/>
            <w:tcBorders>
              <w:top w:val="single" w:color="E2E8F0" w:sz="1"/>
              <w:left w:val="single" w:color="E2E8F0" w:sz="1"/>
              <w:bottom w:val="single" w:color="E2E8F0" w:sz="1"/>
              <w:right w:val="single" w:color="E2E8F0" w:sz="1"/>
            </w:tcBorders>
            <w:shd w:fill="F7F8FA" w:val="clear"/>
            <w:tcMar>
              <w:top w:type="dxa" w:w="80"/>
              <w:left w:type="dxa" w:w="80"/>
              <w:bottom w:type="dxa" w:w="80"/>
              <w:right w:type="dxa" w:w="80"/>
            </w:tcMar>
          </w:tcPr>
          <w:p>
            <w:r>
              <w:rPr>
                <w:rFonts w:ascii="Calibri" w:cs="Calibri" w:eastAsia="Calibri" w:hAnsi="Calibri"/>
                <w:color w:val="2D3748"/>
                <w:sz w:val="18"/>
                <w:szCs w:val="18"/>
              </w:rPr>
              <w:t xml:space="preserve">Slide layers or linked slides; both paths rejoin at Screen 3.4</w:t>
            </w:r>
          </w:p>
        </w:tc>
      </w:tr>
      <w:tr>
        <w:tc>
          <w:tcPr>
            <w:tcW w:type="dxa" w:w="15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Knowledge Check</w:t>
            </w:r>
          </w:p>
        </w:tc>
        <w:tc>
          <w:tcPr>
            <w:tcW w:type="dxa" w:w="17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Multiple Choice Quiz</w:t>
            </w:r>
          </w:p>
        </w:tc>
        <w:tc>
          <w:tcPr>
            <w:tcW w:type="dxa" w:w="18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Assess mastery of all objectives</w:t>
            </w:r>
          </w:p>
        </w:tc>
        <w:tc>
          <w:tcPr>
            <w:tcW w:type="dxa" w:w="204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5 MC questions, randomized; immediate feedback; 2-attempt limit; remediation on fail</w:t>
            </w:r>
          </w:p>
        </w:tc>
        <w:tc>
          <w:tcPr>
            <w:tcW w:type="dxa" w:w="2200"/>
            <w:tcBorders>
              <w:top w:val="single" w:color="E2E8F0" w:sz="1"/>
              <w:left w:val="single" w:color="E2E8F0" w:sz="1"/>
              <w:bottom w:val="single" w:color="E2E8F0" w:sz="1"/>
              <w:right w:val="single" w:color="E2E8F0" w:sz="1"/>
            </w:tcBorders>
            <w:shd w:fill="FFFFFF" w:val="clear"/>
            <w:tcMar>
              <w:top w:type="dxa" w:w="80"/>
              <w:left w:type="dxa" w:w="80"/>
              <w:bottom w:type="dxa" w:w="80"/>
              <w:right w:type="dxa" w:w="80"/>
            </w:tcMar>
          </w:tcPr>
          <w:p>
            <w:r>
              <w:rPr>
                <w:rFonts w:ascii="Calibri" w:cs="Calibri" w:eastAsia="Calibri" w:hAnsi="Calibri"/>
                <w:color w:val="2D3748"/>
                <w:sz w:val="18"/>
                <w:szCs w:val="18"/>
              </w:rPr>
              <w:t xml:space="preserve">Question bank; SCORM score reporting; remediation triggers on 2nd failure</w:t>
            </w:r>
          </w:p>
        </w:tc>
      </w:tr>
    </w:tbl>
    <w:p>
      <w:r>
        <w:br w:type="page"/>
      </w:r>
    </w:p>
    <w:p>
      <w:pPr>
        <w:pStyle w:val="Heading1"/>
        <w:spacing w:after="200" w:before="360"/>
      </w:pPr>
      <w:bookmarkStart w:name="s9" w:id="1"/>
      <w:r>
        <w:t xml:space="preserve">9.  Visual Design Brief</w:t>
      </w:r>
      <w:bookmarkEnd w:id="1"/>
    </w:p>
    <w:p>
      <w:pPr>
        <w:spacing w:after="120" w:before="0"/>
      </w:pPr>
      <w:r>
        <w:rPr>
          <w:rFonts w:ascii="Calibri" w:cs="Calibri" w:eastAsia="Calibri" w:hAnsi="Calibri"/>
          <w:color w:val="2D3748"/>
          <w:sz w:val="22"/>
          <w:szCs w:val="22"/>
        </w:rPr>
        <w:t xml:space="preserve">The visual design for this course prioritizes clarity, professionalism, and regulatory credibility. The aesthetic is intentionally minimal and corporate—appropriate for a FINRA-regulated firm audience. There are no cartoons, clip art, stock photography, or decorative animations.</w:t>
      </w:r>
    </w:p>
    <w:p>
      <w:pPr>
        <w:spacing w:after="0" w:before="80"/>
      </w:pPr>
      <w:r>
        <w:rPr>
          <w:sz w:val="2"/>
          <w:szCs w:val="2"/>
        </w:rPr>
        <w:t xml:space="preserve"/>
      </w:r>
    </w:p>
    <w:p>
      <w:pPr>
        <w:pStyle w:val="Heading2"/>
        <w:spacing w:after="140" w:before="280"/>
      </w:pPr>
      <w:r>
        <w:t xml:space="preserve">Color Palette</w:t>
      </w:r>
    </w:p>
    <w:tbl>
      <w:tblPr>
        <w:tblW w:type="dxa" w:w="9240"/>
        <w:tblBorders>
          <w:top w:val="single" w:color="auto" w:sz="4"/>
          <w:left w:val="single" w:color="auto" w:sz="4"/>
          <w:bottom w:val="single" w:color="auto" w:sz="4"/>
          <w:right w:val="single" w:color="auto" w:sz="4"/>
          <w:insideH w:val="single" w:color="auto" w:sz="4"/>
          <w:insideV w:val="single" w:color="auto" w:sz="4"/>
        </w:tblBorders>
      </w:tblPr>
      <w:tblGrid>
        <w:gridCol w:w="1900"/>
        <w:gridCol w:w="1900"/>
        <w:gridCol w:w="1900"/>
        <w:gridCol w:w="3540"/>
      </w:tblGrid>
      <w:tr>
        <w:tc>
          <w:tcPr>
            <w:tcW w:type="dxa" w:w="19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Role</w:t>
            </w:r>
          </w:p>
        </w:tc>
        <w:tc>
          <w:tcPr>
            <w:tcW w:type="dxa" w:w="19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Name</w:t>
            </w:r>
          </w:p>
        </w:tc>
        <w:tc>
          <w:tcPr>
            <w:tcW w:type="dxa" w:w="190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Hex Value</w:t>
            </w:r>
          </w:p>
        </w:tc>
        <w:tc>
          <w:tcPr>
            <w:tcW w:type="dxa" w:w="3540"/>
            <w:tcBorders>
              <w:top w:val="single" w:color="E2E8F0" w:sz="1"/>
              <w:left w:val="single" w:color="E2E8F0" w:sz="1"/>
              <w:bottom w:val="single" w:color="E2E8F0" w:sz="1"/>
              <w:right w:val="single" w:color="E2E8F0" w:sz="1"/>
            </w:tcBorders>
            <w:shd w:fill="1B2A4A" w:val="clear"/>
            <w:tcMar>
              <w:top w:type="dxa" w:w="80"/>
              <w:left w:type="dxa" w:w="120"/>
              <w:bottom w:type="dxa" w:w="80"/>
              <w:right w:type="dxa" w:w="120"/>
            </w:tcMar>
          </w:tcPr>
          <w:p>
            <w:r>
              <w:rPr>
                <w:rFonts w:ascii="Calibri" w:cs="Calibri" w:eastAsia="Calibri" w:hAnsi="Calibri"/>
                <w:b/>
                <w:bCs/>
                <w:color w:val="FFFFFF"/>
                <w:sz w:val="19"/>
                <w:szCs w:val="19"/>
              </w:rPr>
              <w:t xml:space="preserve">Application</w:t>
            </w:r>
          </w:p>
        </w:tc>
      </w:tr>
      <w:tr>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Primary</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Deep Navy</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#1B2A4A</w:t>
            </w:r>
          </w:p>
        </w:tc>
        <w:tc>
          <w:tcPr>
            <w:tcW w:type="dxa" w:w="35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Headers, navigation bars, key UI elements</w:t>
            </w:r>
          </w:p>
        </w:tc>
      </w:tr>
      <w:tr>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Accent</w:t>
            </w:r>
          </w:p>
        </w:tc>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Gold</w:t>
            </w:r>
          </w:p>
        </w:tc>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#C9A84C</w:t>
            </w:r>
          </w:p>
        </w:tc>
        <w:tc>
          <w:tcPr>
            <w:tcW w:type="dxa" w:w="35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CTAs, highlights, active states, brand accents</w:t>
            </w:r>
          </w:p>
        </w:tc>
      </w:tr>
      <w:tr>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Background</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Off-White</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#F7F8FA</w:t>
            </w:r>
          </w:p>
        </w:tc>
        <w:tc>
          <w:tcPr>
            <w:tcW w:type="dxa" w:w="35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Slide backgrounds, card fills</w:t>
            </w:r>
          </w:p>
        </w:tc>
      </w:tr>
      <w:tr>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Body Text</w:t>
            </w:r>
          </w:p>
        </w:tc>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Dark Slate</w:t>
            </w:r>
          </w:p>
        </w:tc>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#2D3748</w:t>
            </w:r>
          </w:p>
        </w:tc>
        <w:tc>
          <w:tcPr>
            <w:tcW w:type="dxa" w:w="35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All body copy and labels</w:t>
            </w:r>
          </w:p>
        </w:tc>
      </w:tr>
      <w:tr>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Muted Text</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Steel Gray</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#64748B</w:t>
            </w:r>
          </w:p>
        </w:tc>
        <w:tc>
          <w:tcPr>
            <w:tcW w:type="dxa" w:w="35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Captions, secondary labels, metadata</w:t>
            </w:r>
          </w:p>
        </w:tc>
      </w:tr>
      <w:tr>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Divider</w:t>
            </w:r>
          </w:p>
        </w:tc>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Light Gray</w:t>
            </w:r>
          </w:p>
        </w:tc>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#E2E8F0</w:t>
            </w:r>
          </w:p>
        </w:tc>
        <w:tc>
          <w:tcPr>
            <w:tcW w:type="dxa" w:w="35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Table borders, section dividers, rules</w:t>
            </w:r>
          </w:p>
        </w:tc>
      </w:tr>
      <w:tr>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Success</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Forest Green</w:t>
            </w:r>
          </w:p>
        </w:tc>
        <w:tc>
          <w:tcPr>
            <w:tcW w:type="dxa" w:w="190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#2D7D46</w:t>
            </w:r>
          </w:p>
        </w:tc>
        <w:tc>
          <w:tcPr>
            <w:tcW w:type="dxa" w:w="3540"/>
            <w:tcBorders>
              <w:top w:val="single" w:color="E2E8F0" w:sz="1"/>
              <w:left w:val="single" w:color="E2E8F0" w:sz="1"/>
              <w:bottom w:val="single" w:color="E2E8F0" w:sz="1"/>
              <w:right w:val="single" w:color="E2E8F0" w:sz="1"/>
            </w:tcBorders>
            <w:shd w:fill="F7F8FA" w:val="clear"/>
            <w:tcMar>
              <w:top w:type="dxa" w:w="80"/>
              <w:left w:type="dxa" w:w="120"/>
              <w:bottom w:type="dxa" w:w="80"/>
              <w:right w:type="dxa" w:w="120"/>
            </w:tcMar>
          </w:tcPr>
          <w:p>
            <w:r>
              <w:rPr>
                <w:rFonts w:ascii="Calibri" w:cs="Calibri" w:eastAsia="Calibri" w:hAnsi="Calibri"/>
                <w:color w:val="2D3748"/>
                <w:sz w:val="20"/>
                <w:szCs w:val="20"/>
              </w:rPr>
              <w:t xml:space="preserve">Correct answer feedback, success states</w:t>
            </w:r>
          </w:p>
        </w:tc>
      </w:tr>
      <w:tr>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Error</w:t>
            </w:r>
          </w:p>
        </w:tc>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Crimson</w:t>
            </w:r>
          </w:p>
        </w:tc>
        <w:tc>
          <w:tcPr>
            <w:tcW w:type="dxa" w:w="190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#C0392B</w:t>
            </w:r>
          </w:p>
        </w:tc>
        <w:tc>
          <w:tcPr>
            <w:tcW w:type="dxa" w:w="3540"/>
            <w:tcBorders>
              <w:top w:val="single" w:color="E2E8F0" w:sz="1"/>
              <w:left w:val="single" w:color="E2E8F0" w:sz="1"/>
              <w:bottom w:val="single" w:color="E2E8F0" w:sz="1"/>
              <w:right w:val="single" w:color="E2E8F0" w:sz="1"/>
            </w:tcBorders>
            <w:shd w:fill="FFFFFF" w:val="clear"/>
            <w:tcMar>
              <w:top w:type="dxa" w:w="80"/>
              <w:left w:type="dxa" w:w="120"/>
              <w:bottom w:type="dxa" w:w="80"/>
              <w:right w:type="dxa" w:w="120"/>
            </w:tcMar>
          </w:tcPr>
          <w:p>
            <w:r>
              <w:rPr>
                <w:rFonts w:ascii="Calibri" w:cs="Calibri" w:eastAsia="Calibri" w:hAnsi="Calibri"/>
                <w:color w:val="2D3748"/>
                <w:sz w:val="20"/>
                <w:szCs w:val="20"/>
              </w:rPr>
              <w:t xml:space="preserve">Incorrect answer feedback, warning states</w:t>
            </w:r>
          </w:p>
        </w:tc>
      </w:tr>
    </w:tbl>
    <w:p>
      <w:pPr>
        <w:spacing w:after="0" w:before="120"/>
      </w:pPr>
      <w:r>
        <w:rPr>
          <w:sz w:val="2"/>
          <w:szCs w:val="2"/>
        </w:rPr>
        <w:t xml:space="preserve"/>
      </w:r>
    </w:p>
    <w:p>
      <w:pPr>
        <w:pStyle w:val="Heading2"/>
        <w:spacing w:after="140" w:before="280"/>
      </w:pPr>
      <w:r>
        <w:t xml:space="preserve">Typography</w:t>
      </w:r>
    </w:p>
    <w:p>
      <w:pPr>
        <w:pStyle w:val="ListParagraph"/>
        <w:numPr>
          <w:ilvl w:val="0"/>
          <w:numId w:val="2"/>
        </w:numPr>
        <w:spacing w:after="80" w:before="0"/>
      </w:pPr>
      <w:r>
        <w:rPr>
          <w:rFonts w:ascii="Calibri" w:cs="Calibri" w:eastAsia="Calibri" w:hAnsi="Calibri"/>
          <w:color w:val="2D3748"/>
          <w:sz w:val="22"/>
          <w:szCs w:val="22"/>
        </w:rPr>
        <w:t xml:space="preserve">Headings: Calibri Bold, 32–40pt — Deep Navy (#1B2A4A)</w:t>
      </w:r>
    </w:p>
    <w:p>
      <w:pPr>
        <w:pStyle w:val="ListParagraph"/>
        <w:numPr>
          <w:ilvl w:val="0"/>
          <w:numId w:val="2"/>
        </w:numPr>
        <w:spacing w:after="80" w:before="0"/>
      </w:pPr>
      <w:r>
        <w:rPr>
          <w:rFonts w:ascii="Calibri" w:cs="Calibri" w:eastAsia="Calibri" w:hAnsi="Calibri"/>
          <w:color w:val="2D3748"/>
          <w:sz w:val="22"/>
          <w:szCs w:val="22"/>
        </w:rPr>
        <w:t xml:space="preserve">Subheadings: Calibri SemiBold, 22–28pt — Navy or Dark Slate</w:t>
      </w:r>
    </w:p>
    <w:p>
      <w:pPr>
        <w:pStyle w:val="ListParagraph"/>
        <w:numPr>
          <w:ilvl w:val="0"/>
          <w:numId w:val="2"/>
        </w:numPr>
        <w:spacing w:after="80" w:before="0"/>
      </w:pPr>
      <w:r>
        <w:rPr>
          <w:rFonts w:ascii="Calibri" w:cs="Calibri" w:eastAsia="Calibri" w:hAnsi="Calibri"/>
          <w:color w:val="2D3748"/>
          <w:sz w:val="22"/>
          <w:szCs w:val="22"/>
        </w:rPr>
        <w:t xml:space="preserve">Body Copy: Calibri, 16–18pt — Dark Slate (#2D3748)</w:t>
      </w:r>
    </w:p>
    <w:p>
      <w:pPr>
        <w:pStyle w:val="ListParagraph"/>
        <w:numPr>
          <w:ilvl w:val="0"/>
          <w:numId w:val="2"/>
        </w:numPr>
        <w:spacing w:after="80" w:before="0"/>
      </w:pPr>
      <w:r>
        <w:rPr>
          <w:rFonts w:ascii="Calibri" w:cs="Calibri" w:eastAsia="Calibri" w:hAnsi="Calibri"/>
          <w:color w:val="2D3748"/>
          <w:sz w:val="22"/>
          <w:szCs w:val="22"/>
        </w:rPr>
        <w:t xml:space="preserve">Captions / Metadata: Calibri Light, 12–14pt — Steel Gray (#64748B)</w:t>
      </w:r>
    </w:p>
    <w:p>
      <w:pPr>
        <w:pStyle w:val="ListParagraph"/>
        <w:numPr>
          <w:ilvl w:val="0"/>
          <w:numId w:val="2"/>
        </w:numPr>
        <w:spacing w:after="80" w:before="0"/>
      </w:pPr>
      <w:r>
        <w:rPr>
          <w:rFonts w:ascii="Calibri" w:cs="Calibri" w:eastAsia="Calibri" w:hAnsi="Calibri"/>
          <w:color w:val="2D3748"/>
          <w:sz w:val="22"/>
          <w:szCs w:val="22"/>
        </w:rPr>
        <w:t xml:space="preserve">Button Labels: Calibri Bold, 16pt — White on Navy, or Navy on Gold background</w:t>
      </w:r>
    </w:p>
    <w:p>
      <w:pPr>
        <w:spacing w:after="0" w:before="80"/>
      </w:pPr>
      <w:r>
        <w:rPr>
          <w:sz w:val="2"/>
          <w:szCs w:val="2"/>
        </w:rPr>
        <w:t xml:space="preserve"/>
      </w:r>
    </w:p>
    <w:p>
      <w:pPr>
        <w:pStyle w:val="Heading2"/>
        <w:spacing w:after="140" w:before="280"/>
      </w:pPr>
      <w:r>
        <w:t xml:space="preserve">Layout &amp; Spacing</w:t>
      </w:r>
    </w:p>
    <w:p>
      <w:pPr>
        <w:pStyle w:val="ListParagraph"/>
        <w:numPr>
          <w:ilvl w:val="0"/>
          <w:numId w:val="2"/>
        </w:numPr>
        <w:spacing w:after="80" w:before="0"/>
      </w:pPr>
      <w:r>
        <w:rPr>
          <w:rFonts w:ascii="Calibri" w:cs="Calibri" w:eastAsia="Calibri" w:hAnsi="Calibri"/>
          <w:color w:val="2D3748"/>
          <w:sz w:val="22"/>
          <w:szCs w:val="22"/>
        </w:rPr>
        <w:t xml:space="preserve">Slide size: 1280×720px (16:9 widescreen)</w:t>
      </w:r>
    </w:p>
    <w:p>
      <w:pPr>
        <w:pStyle w:val="ListParagraph"/>
        <w:numPr>
          <w:ilvl w:val="0"/>
          <w:numId w:val="2"/>
        </w:numPr>
        <w:spacing w:after="80" w:before="0"/>
      </w:pPr>
      <w:r>
        <w:rPr>
          <w:rFonts w:ascii="Calibri" w:cs="Calibri" w:eastAsia="Calibri" w:hAnsi="Calibri"/>
          <w:color w:val="2D3748"/>
          <w:sz w:val="22"/>
          <w:szCs w:val="22"/>
        </w:rPr>
        <w:t xml:space="preserve">Left navigation panel: 200px fixed width, navy background, module progress indicators</w:t>
      </w:r>
    </w:p>
    <w:p>
      <w:pPr>
        <w:pStyle w:val="ListParagraph"/>
        <w:numPr>
          <w:ilvl w:val="0"/>
          <w:numId w:val="2"/>
        </w:numPr>
        <w:spacing w:after="80" w:before="0"/>
      </w:pPr>
      <w:r>
        <w:rPr>
          <w:rFonts w:ascii="Calibri" w:cs="Calibri" w:eastAsia="Calibri" w:hAnsi="Calibri"/>
          <w:color w:val="2D3748"/>
          <w:sz w:val="22"/>
          <w:szCs w:val="22"/>
        </w:rPr>
        <w:t xml:space="preserve">Content area: 1080px wide, centered, 40px internal padding on all sides</w:t>
      </w:r>
    </w:p>
    <w:p>
      <w:pPr>
        <w:pStyle w:val="ListParagraph"/>
        <w:numPr>
          <w:ilvl w:val="0"/>
          <w:numId w:val="2"/>
        </w:numPr>
        <w:spacing w:after="80" w:before="0"/>
      </w:pPr>
      <w:r>
        <w:rPr>
          <w:rFonts w:ascii="Calibri" w:cs="Calibri" w:eastAsia="Calibri" w:hAnsi="Calibri"/>
          <w:color w:val="2D3748"/>
          <w:sz w:val="22"/>
          <w:szCs w:val="22"/>
        </w:rPr>
        <w:t xml:space="preserve">Content density: Maximum 3 content blocks per slide; prefer 2 for optimal readability</w:t>
      </w:r>
    </w:p>
    <w:p>
      <w:pPr>
        <w:pStyle w:val="ListParagraph"/>
        <w:numPr>
          <w:ilvl w:val="0"/>
          <w:numId w:val="2"/>
        </w:numPr>
        <w:spacing w:after="80" w:before="0"/>
      </w:pPr>
      <w:r>
        <w:rPr>
          <w:rFonts w:ascii="Calibri" w:cs="Calibri" w:eastAsia="Calibri" w:hAnsi="Calibri"/>
          <w:color w:val="2D3748"/>
          <w:sz w:val="22"/>
          <w:szCs w:val="22"/>
        </w:rPr>
        <w:t xml:space="preserve">Minimum 24px breathing room between all content blocks</w:t>
      </w:r>
    </w:p>
    <w:p>
      <w:pPr>
        <w:spacing w:after="0" w:before="80"/>
      </w:pPr>
      <w:r>
        <w:rPr>
          <w:sz w:val="2"/>
          <w:szCs w:val="2"/>
        </w:rPr>
        <w:t xml:space="preserve"/>
      </w:r>
    </w:p>
    <w:p>
      <w:pPr>
        <w:pStyle w:val="Heading2"/>
        <w:spacing w:after="140" w:before="280"/>
      </w:pPr>
      <w:r>
        <w:t xml:space="preserve">Graphic Style</w:t>
      </w:r>
    </w:p>
    <w:p>
      <w:pPr>
        <w:pStyle w:val="ListParagraph"/>
        <w:numPr>
          <w:ilvl w:val="0"/>
          <w:numId w:val="2"/>
        </w:numPr>
        <w:spacing w:after="80" w:before="0"/>
      </w:pPr>
      <w:r>
        <w:rPr>
          <w:rFonts w:ascii="Calibri" w:cs="Calibri" w:eastAsia="Calibri" w:hAnsi="Calibri"/>
          <w:color w:val="2D3748"/>
          <w:sz w:val="22"/>
          <w:szCs w:val="22"/>
        </w:rPr>
        <w:t xml:space="preserve">Icons: Custom flat icons created in Adobe Illustrator CC — two-tone line-art style with navy and gold fills. No stock icon packs or clipart.</w:t>
      </w:r>
    </w:p>
    <w:p>
      <w:pPr>
        <w:pStyle w:val="ListParagraph"/>
        <w:numPr>
          <w:ilvl w:val="0"/>
          <w:numId w:val="2"/>
        </w:numPr>
        <w:spacing w:after="80" w:before="0"/>
      </w:pPr>
      <w:r>
        <w:rPr>
          <w:rFonts w:ascii="Calibri" w:cs="Calibri" w:eastAsia="Calibri" w:hAnsi="Calibri"/>
          <w:color w:val="2D3748"/>
          <w:sz w:val="22"/>
          <w:szCs w:val="22"/>
        </w:rPr>
        <w:t xml:space="preserve">Illustrations: Minimal and geometric. No character illustrations or photographic humans in slides.</w:t>
      </w:r>
    </w:p>
    <w:p>
      <w:pPr>
        <w:pStyle w:val="ListParagraph"/>
        <w:numPr>
          <w:ilvl w:val="0"/>
          <w:numId w:val="2"/>
        </w:numPr>
        <w:spacing w:after="80" w:before="0"/>
      </w:pPr>
      <w:r>
        <w:rPr>
          <w:rFonts w:ascii="Calibri" w:cs="Calibri" w:eastAsia="Calibri" w:hAnsi="Calibri"/>
          <w:color w:val="2D3748"/>
          <w:sz w:val="22"/>
          <w:szCs w:val="22"/>
        </w:rPr>
        <w:t xml:space="preserve">Narrator: Synthesia AI avatar—professional, neutral presenter for all narrated slides. Positioned in lower-right corner on applicable screens.</w:t>
      </w:r>
    </w:p>
    <w:p>
      <w:pPr>
        <w:pStyle w:val="ListParagraph"/>
        <w:numPr>
          <w:ilvl w:val="0"/>
          <w:numId w:val="2"/>
        </w:numPr>
        <w:spacing w:after="80" w:before="0"/>
      </w:pPr>
      <w:r>
        <w:rPr>
          <w:rFonts w:ascii="Calibri" w:cs="Calibri" w:eastAsia="Calibri" w:hAnsi="Calibri"/>
          <w:color w:val="2D3748"/>
          <w:sz w:val="22"/>
          <w:szCs w:val="22"/>
        </w:rPr>
        <w:t xml:space="preserve">Photography: None. Cleaner and more consistent without it.</w:t>
      </w:r>
    </w:p>
    <w:p>
      <w:pPr>
        <w:spacing w:after="0" w:before="80"/>
      </w:pPr>
      <w:r>
        <w:rPr>
          <w:sz w:val="2"/>
          <w:szCs w:val="2"/>
        </w:rPr>
        <w:t xml:space="preserve"/>
      </w:r>
    </w:p>
    <w:p>
      <w:pPr>
        <w:pStyle w:val="Heading2"/>
        <w:spacing w:after="140" w:before="280"/>
      </w:pPr>
      <w:r>
        <w:t xml:space="preserve">Motion &amp; Animation</w:t>
      </w:r>
    </w:p>
    <w:p>
      <w:pPr>
        <w:pStyle w:val="ListParagraph"/>
        <w:numPr>
          <w:ilvl w:val="0"/>
          <w:numId w:val="2"/>
        </w:numPr>
        <w:spacing w:after="80" w:before="0"/>
      </w:pPr>
      <w:r>
        <w:rPr>
          <w:rFonts w:ascii="Calibri" w:cs="Calibri" w:eastAsia="Calibri" w:hAnsi="Calibri"/>
          <w:color w:val="2D3748"/>
          <w:sz w:val="22"/>
          <w:szCs w:val="22"/>
        </w:rPr>
        <w:t xml:space="preserve">Slide transitions: Fade in/out only (0.3 seconds). No fly-in, bounce, or spin effects.</w:t>
      </w:r>
    </w:p>
    <w:p>
      <w:pPr>
        <w:pStyle w:val="ListParagraph"/>
        <w:numPr>
          <w:ilvl w:val="0"/>
          <w:numId w:val="2"/>
        </w:numPr>
        <w:spacing w:after="80" w:before="0"/>
      </w:pPr>
      <w:r>
        <w:rPr>
          <w:rFonts w:ascii="Calibri" w:cs="Calibri" w:eastAsia="Calibri" w:hAnsi="Calibri"/>
          <w:color w:val="2D3748"/>
          <w:sz w:val="22"/>
          <w:szCs w:val="22"/>
        </w:rPr>
        <w:t xml:space="preserve">Interaction animations: Subtle card flip for click-to-reveal; smooth drag motion for drag-and-drop.</w:t>
      </w:r>
    </w:p>
    <w:p>
      <w:pPr>
        <w:pStyle w:val="ListParagraph"/>
        <w:numPr>
          <w:ilvl w:val="0"/>
          <w:numId w:val="2"/>
        </w:numPr>
        <w:spacing w:after="80" w:before="0"/>
      </w:pPr>
      <w:r>
        <w:rPr>
          <w:rFonts w:ascii="Calibri" w:cs="Calibri" w:eastAsia="Calibri" w:hAnsi="Calibri"/>
          <w:color w:val="2D3748"/>
          <w:sz w:val="22"/>
          <w:szCs w:val="22"/>
        </w:rPr>
        <w:t xml:space="preserve">Progress bar: Thin gold strip at bottom of all slides tracking course completion percentage.</w:t>
      </w:r>
    </w:p>
    <w:p>
      <w:r>
        <w:br w:type="page"/>
      </w:r>
    </w:p>
    <w:p>
      <w:pPr>
        <w:pStyle w:val="Heading1"/>
        <w:spacing w:after="200" w:before="360"/>
      </w:pPr>
      <w:bookmarkStart w:name="s10" w:id="1"/>
      <w:r>
        <w:t xml:space="preserve">10.  Articulate Storyline 360 Build Notes</w:t>
      </w:r>
      <w:bookmarkEnd w:id="1"/>
    </w:p>
    <w:p>
      <w:pPr>
        <w:spacing w:after="120" w:before="0"/>
      </w:pPr>
      <w:r>
        <w:rPr>
          <w:rFonts w:ascii="Calibri" w:cs="Calibri" w:eastAsia="Calibri" w:hAnsi="Calibri"/>
          <w:color w:val="2D3748"/>
          <w:sz w:val="22"/>
          <w:szCs w:val="22"/>
        </w:rPr>
        <w:t xml:space="preserve">The following technical specifications guide the Articulate Storyline 360 build phase and ensure consistent, accessible course delivery across the firm’s LMS.</w:t>
      </w:r>
    </w:p>
    <w:p>
      <w:pPr>
        <w:spacing w:after="0" w:before="80"/>
      </w:pPr>
      <w:r>
        <w:rPr>
          <w:sz w:val="2"/>
          <w:szCs w:val="2"/>
        </w:rPr>
        <w:t xml:space="preserve"/>
      </w:r>
    </w:p>
    <w:p>
      <w:pPr>
        <w:pStyle w:val="Heading2"/>
        <w:spacing w:after="140" w:before="280"/>
      </w:pPr>
      <w:r>
        <w:t xml:space="preserve">Project Setup</w:t>
      </w:r>
    </w:p>
    <w:p>
      <w:pPr>
        <w:pStyle w:val="ListParagraph"/>
        <w:numPr>
          <w:ilvl w:val="0"/>
          <w:numId w:val="2"/>
        </w:numPr>
        <w:spacing w:after="80" w:before="0"/>
      </w:pPr>
      <w:r>
        <w:rPr>
          <w:rFonts w:ascii="Calibri" w:cs="Calibri" w:eastAsia="Calibri" w:hAnsi="Calibri"/>
          <w:color w:val="2D3748"/>
          <w:sz w:val="22"/>
          <w:szCs w:val="22"/>
        </w:rPr>
        <w:t xml:space="preserve">Slide size: 1280×720 (16:9 widescreen)</w:t>
      </w:r>
    </w:p>
    <w:p>
      <w:pPr>
        <w:pStyle w:val="ListParagraph"/>
        <w:numPr>
          <w:ilvl w:val="0"/>
          <w:numId w:val="2"/>
        </w:numPr>
        <w:spacing w:after="80" w:before="0"/>
      </w:pPr>
      <w:r>
        <w:rPr>
          <w:rFonts w:ascii="Calibri" w:cs="Calibri" w:eastAsia="Calibri" w:hAnsi="Calibri"/>
          <w:color w:val="2D3748"/>
          <w:sz w:val="22"/>
          <w:szCs w:val="22"/>
        </w:rPr>
        <w:t xml:space="preserve">Player: Custom player — left navigation panel only; no top menu bar; no seekbar; no volume control (audio managed within slides)</w:t>
      </w:r>
    </w:p>
    <w:p>
      <w:pPr>
        <w:pStyle w:val="ListParagraph"/>
        <w:numPr>
          <w:ilvl w:val="0"/>
          <w:numId w:val="2"/>
        </w:numPr>
        <w:spacing w:after="80" w:before="0"/>
      </w:pPr>
      <w:r>
        <w:rPr>
          <w:rFonts w:ascii="Calibri" w:cs="Calibri" w:eastAsia="Calibri" w:hAnsi="Calibri"/>
          <w:color w:val="2D3748"/>
          <w:sz w:val="22"/>
          <w:szCs w:val="22"/>
        </w:rPr>
        <w:t xml:space="preserve">Fonts: Embed Calibri; web-safe fallback configured</w:t>
      </w:r>
    </w:p>
    <w:p>
      <w:pPr>
        <w:pStyle w:val="ListParagraph"/>
        <w:numPr>
          <w:ilvl w:val="0"/>
          <w:numId w:val="2"/>
        </w:numPr>
        <w:spacing w:after="80" w:before="0"/>
      </w:pPr>
      <w:r>
        <w:rPr>
          <w:rFonts w:ascii="Calibri" w:cs="Calibri" w:eastAsia="Calibri" w:hAnsi="Calibri"/>
          <w:color w:val="2D3748"/>
          <w:sz w:val="22"/>
          <w:szCs w:val="22"/>
        </w:rPr>
        <w:t xml:space="preserve">Colors: Apply Story theme color palette defined in Section 9 to all shapes and states</w:t>
      </w:r>
    </w:p>
    <w:p>
      <w:pPr>
        <w:spacing w:after="0" w:before="80"/>
      </w:pPr>
      <w:r>
        <w:rPr>
          <w:sz w:val="2"/>
          <w:szCs w:val="2"/>
        </w:rPr>
        <w:t xml:space="preserve"/>
      </w:r>
    </w:p>
    <w:p>
      <w:pPr>
        <w:pStyle w:val="Heading2"/>
        <w:spacing w:after="140" w:before="280"/>
      </w:pPr>
      <w:r>
        <w:t xml:space="preserve">Master Slides</w:t>
      </w:r>
    </w:p>
    <w:p>
      <w:pPr>
        <w:pStyle w:val="ListParagraph"/>
        <w:numPr>
          <w:ilvl w:val="0"/>
          <w:numId w:val="2"/>
        </w:numPr>
        <w:spacing w:after="80" w:before="0"/>
      </w:pPr>
      <w:r>
        <w:rPr>
          <w:rFonts w:ascii="Calibri" w:cs="Calibri" w:eastAsia="Calibri" w:hAnsi="Calibri"/>
          <w:color w:val="2D3748"/>
          <w:sz w:val="22"/>
          <w:szCs w:val="22"/>
        </w:rPr>
        <w:t xml:space="preserve">Master 1 — Title/Module Intro: Navy header bar (full width), white body, gold accent strip at bottom</w:t>
      </w:r>
    </w:p>
    <w:p>
      <w:pPr>
        <w:pStyle w:val="ListParagraph"/>
        <w:numPr>
          <w:ilvl w:val="0"/>
          <w:numId w:val="2"/>
        </w:numPr>
        <w:spacing w:after="80" w:before="0"/>
      </w:pPr>
      <w:r>
        <w:rPr>
          <w:rFonts w:ascii="Calibri" w:cs="Calibri" w:eastAsia="Calibri" w:hAnsi="Calibri"/>
          <w:color w:val="2D3748"/>
          <w:sz w:val="22"/>
          <w:szCs w:val="22"/>
        </w:rPr>
        <w:t xml:space="preserve">Master 2 — Content: Light background, navy section label, gold left-border accent, minimal footer with progress indicator</w:t>
      </w:r>
    </w:p>
    <w:p>
      <w:pPr>
        <w:pStyle w:val="ListParagraph"/>
        <w:numPr>
          <w:ilvl w:val="0"/>
          <w:numId w:val="2"/>
        </w:numPr>
        <w:spacing w:after="80" w:before="0"/>
      </w:pPr>
      <w:r>
        <w:rPr>
          <w:rFonts w:ascii="Calibri" w:cs="Calibri" w:eastAsia="Calibri" w:hAnsi="Calibri"/>
          <w:color w:val="2D3748"/>
          <w:sz w:val="22"/>
          <w:szCs w:val="22"/>
        </w:rPr>
        <w:t xml:space="preserve">Master 3 — Interaction: Same as Content but with larger interactive zone; no left-border strip to maximize click/drag area</w:t>
      </w:r>
    </w:p>
    <w:p>
      <w:pPr>
        <w:pStyle w:val="ListParagraph"/>
        <w:numPr>
          <w:ilvl w:val="0"/>
          <w:numId w:val="2"/>
        </w:numPr>
        <w:spacing w:after="80" w:before="0"/>
      </w:pPr>
      <w:r>
        <w:rPr>
          <w:rFonts w:ascii="Calibri" w:cs="Calibri" w:eastAsia="Calibri" w:hAnsi="Calibri"/>
          <w:color w:val="2D3748"/>
          <w:sz w:val="22"/>
          <w:szCs w:val="22"/>
        </w:rPr>
        <w:t xml:space="preserve">Master 4 — Assessment: Clean white background; question in dark slate; answer choices in bordered boxes; correct/incorrect feedback via green/red layer overlays</w:t>
      </w:r>
    </w:p>
    <w:p>
      <w:pPr>
        <w:spacing w:after="0" w:before="80"/>
      </w:pPr>
      <w:r>
        <w:rPr>
          <w:sz w:val="2"/>
          <w:szCs w:val="2"/>
        </w:rPr>
        <w:t xml:space="preserve"/>
      </w:r>
    </w:p>
    <w:p>
      <w:pPr>
        <w:pStyle w:val="Heading2"/>
        <w:spacing w:after="140" w:before="280"/>
      </w:pPr>
      <w:r>
        <w:t xml:space="preserve">Navigation &amp; Variables</w:t>
      </w:r>
    </w:p>
    <w:p>
      <w:pPr>
        <w:pStyle w:val="ListParagraph"/>
        <w:numPr>
          <w:ilvl w:val="0"/>
          <w:numId w:val="2"/>
        </w:numPr>
        <w:spacing w:after="80" w:before="0"/>
      </w:pPr>
      <w:r>
        <w:rPr>
          <w:rFonts w:ascii="Calibri" w:cs="Calibri" w:eastAsia="Calibri" w:hAnsi="Calibri"/>
          <w:color w:val="2D3748"/>
          <w:sz w:val="22"/>
          <w:szCs w:val="22"/>
        </w:rPr>
        <w:t xml:space="preserve">Default: Next button visible at all times EXCEPT on interaction screens where completion requires learner action</w:t>
      </w:r>
    </w:p>
    <w:p>
      <w:pPr>
        <w:pStyle w:val="ListParagraph"/>
        <w:numPr>
          <w:ilvl w:val="0"/>
          <w:numId w:val="2"/>
        </w:numPr>
        <w:spacing w:after="80" w:before="0"/>
      </w:pPr>
      <w:r>
        <w:rPr>
          <w:rFonts w:ascii="Calibri" w:cs="Calibri" w:eastAsia="Calibri" w:hAnsi="Calibri"/>
          <w:color w:val="2D3748"/>
          <w:sz w:val="22"/>
          <w:szCs w:val="22"/>
        </w:rPr>
        <w:t xml:space="preserve">Module completion: Boolean variable per module (M1_Complete, M2_Complete, M3_Complete)</w:t>
      </w:r>
    </w:p>
    <w:p>
      <w:pPr>
        <w:pStyle w:val="ListParagraph"/>
        <w:numPr>
          <w:ilvl w:val="0"/>
          <w:numId w:val="2"/>
        </w:numPr>
        <w:spacing w:after="80" w:before="0"/>
      </w:pPr>
      <w:r>
        <w:rPr>
          <w:rFonts w:ascii="Calibri" w:cs="Calibri" w:eastAsia="Calibri" w:hAnsi="Calibri"/>
          <w:color w:val="2D3748"/>
          <w:sz w:val="22"/>
          <w:szCs w:val="22"/>
        </w:rPr>
        <w:t xml:space="preserve">Assessment score: Built-in Storyline quiz result variable; reported directly to LMS</w:t>
      </w:r>
    </w:p>
    <w:p>
      <w:pPr>
        <w:pStyle w:val="ListParagraph"/>
        <w:numPr>
          <w:ilvl w:val="0"/>
          <w:numId w:val="2"/>
        </w:numPr>
        <w:spacing w:after="80" w:before="0"/>
      </w:pPr>
      <w:r>
        <w:rPr>
          <w:rFonts w:ascii="Calibri" w:cs="Calibri" w:eastAsia="Calibri" w:hAnsi="Calibri"/>
          <w:color w:val="2D3748"/>
          <w:sz w:val="22"/>
          <w:szCs w:val="22"/>
        </w:rPr>
        <w:t xml:space="preserve">Branching scenario: String variable ScenarioChoice stores learner’s path for optional reporting</w:t>
      </w:r>
    </w:p>
    <w:p>
      <w:pPr>
        <w:pStyle w:val="ListParagraph"/>
        <w:numPr>
          <w:ilvl w:val="0"/>
          <w:numId w:val="2"/>
        </w:numPr>
        <w:spacing w:after="80" w:before="0"/>
      </w:pPr>
      <w:r>
        <w:rPr>
          <w:rFonts w:ascii="Calibri" w:cs="Calibri" w:eastAsia="Calibri" w:hAnsi="Calibri"/>
          <w:color w:val="2D3748"/>
          <w:sz w:val="22"/>
          <w:szCs w:val="22"/>
        </w:rPr>
        <w:t xml:space="preserve">Click-to-reveal tracker: Integer CardClickCount; increments per unique card clicked; Continue enabled at = 4</w:t>
      </w:r>
    </w:p>
    <w:p>
      <w:pPr>
        <w:spacing w:after="0" w:before="80"/>
      </w:pPr>
      <w:r>
        <w:rPr>
          <w:sz w:val="2"/>
          <w:szCs w:val="2"/>
        </w:rPr>
        <w:t xml:space="preserve"/>
      </w:r>
    </w:p>
    <w:p>
      <w:pPr>
        <w:pStyle w:val="Heading2"/>
        <w:spacing w:after="140" w:before="280"/>
      </w:pPr>
      <w:r>
        <w:t xml:space="preserve">Accessibility Standards</w:t>
      </w:r>
    </w:p>
    <w:p>
      <w:pPr>
        <w:pStyle w:val="ListParagraph"/>
        <w:numPr>
          <w:ilvl w:val="0"/>
          <w:numId w:val="2"/>
        </w:numPr>
        <w:spacing w:after="80" w:before="0"/>
      </w:pPr>
      <w:r>
        <w:rPr>
          <w:rFonts w:ascii="Calibri" w:cs="Calibri" w:eastAsia="Calibri" w:hAnsi="Calibri"/>
          <w:color w:val="2D3748"/>
          <w:sz w:val="22"/>
          <w:szCs w:val="22"/>
        </w:rPr>
        <w:t xml:space="preserve">All images and icons: Alt text written for screen readers (descriptive, not decorative labels)</w:t>
      </w:r>
    </w:p>
    <w:p>
      <w:pPr>
        <w:pStyle w:val="ListParagraph"/>
        <w:numPr>
          <w:ilvl w:val="0"/>
          <w:numId w:val="2"/>
        </w:numPr>
        <w:spacing w:after="80" w:before="0"/>
      </w:pPr>
      <w:r>
        <w:rPr>
          <w:rFonts w:ascii="Calibri" w:cs="Calibri" w:eastAsia="Calibri" w:hAnsi="Calibri"/>
          <w:color w:val="2D3748"/>
          <w:sz w:val="22"/>
          <w:szCs w:val="22"/>
        </w:rPr>
        <w:t xml:space="preserve">All interactive elements: Keyboard-accessible; Tab order set manually in Storyline accessibility panel</w:t>
      </w:r>
    </w:p>
    <w:p>
      <w:pPr>
        <w:pStyle w:val="ListParagraph"/>
        <w:numPr>
          <w:ilvl w:val="0"/>
          <w:numId w:val="2"/>
        </w:numPr>
        <w:spacing w:after="80" w:before="0"/>
      </w:pPr>
      <w:r>
        <w:rPr>
          <w:rFonts w:ascii="Calibri" w:cs="Calibri" w:eastAsia="Calibri" w:hAnsi="Calibri"/>
          <w:color w:val="2D3748"/>
          <w:sz w:val="22"/>
          <w:szCs w:val="22"/>
        </w:rPr>
        <w:t xml:space="preserve">Color contrast: Minimum 4.5:1 ratio for all text/background combinations, verified in Adobe Color</w:t>
      </w:r>
    </w:p>
    <w:p>
      <w:pPr>
        <w:pStyle w:val="ListParagraph"/>
        <w:numPr>
          <w:ilvl w:val="0"/>
          <w:numId w:val="2"/>
        </w:numPr>
        <w:spacing w:after="80" w:before="0"/>
      </w:pPr>
      <w:r>
        <w:rPr>
          <w:rFonts w:ascii="Calibri" w:cs="Calibri" w:eastAsia="Calibri" w:hAnsi="Calibri"/>
          <w:color w:val="2D3748"/>
          <w:sz w:val="22"/>
          <w:szCs w:val="22"/>
        </w:rPr>
        <w:t xml:space="preserve">Synthesia narration video: Closed captions enabled; caption file reviewed for accuracy</w:t>
      </w:r>
    </w:p>
    <w:p>
      <w:pPr>
        <w:pStyle w:val="ListParagraph"/>
        <w:numPr>
          <w:ilvl w:val="0"/>
          <w:numId w:val="2"/>
        </w:numPr>
        <w:spacing w:after="80" w:before="0"/>
      </w:pPr>
      <w:r>
        <w:rPr>
          <w:rFonts w:ascii="Calibri" w:cs="Calibri" w:eastAsia="Calibri" w:hAnsi="Calibri"/>
          <w:color w:val="2D3748"/>
          <w:sz w:val="22"/>
          <w:szCs w:val="22"/>
        </w:rPr>
        <w:t xml:space="preserve">Focus indicators: Visible for all keyboard-navigable elements per WCAG 2.4.7</w:t>
      </w:r>
    </w:p>
    <w:p>
      <w:pPr>
        <w:spacing w:after="0" w:before="80"/>
      </w:pPr>
      <w:r>
        <w:rPr>
          <w:sz w:val="2"/>
          <w:szCs w:val="2"/>
        </w:rPr>
        <w:t xml:space="preserve"/>
      </w:r>
    </w:p>
    <w:p>
      <w:pPr>
        <w:pStyle w:val="Heading2"/>
        <w:spacing w:after="140" w:before="280"/>
      </w:pPr>
      <w:r>
        <w:t xml:space="preserve">LMS / SCORM Specifications</w:t>
      </w:r>
    </w:p>
    <w:p>
      <w:pPr>
        <w:pStyle w:val="ListParagraph"/>
        <w:numPr>
          <w:ilvl w:val="0"/>
          <w:numId w:val="2"/>
        </w:numPr>
        <w:spacing w:after="80" w:before="0"/>
      </w:pPr>
      <w:r>
        <w:rPr>
          <w:rFonts w:ascii="Calibri" w:cs="Calibri" w:eastAsia="Calibri" w:hAnsi="Calibri"/>
          <w:color w:val="2D3748"/>
          <w:sz w:val="22"/>
          <w:szCs w:val="22"/>
        </w:rPr>
        <w:t xml:space="preserve">Output format: SCORM 2004 3rd Edition (fallback: SCORM 1.2 if LMS requires)</w:t>
      </w:r>
    </w:p>
    <w:p>
      <w:pPr>
        <w:pStyle w:val="ListParagraph"/>
        <w:numPr>
          <w:ilvl w:val="0"/>
          <w:numId w:val="2"/>
        </w:numPr>
        <w:spacing w:after="80" w:before="0"/>
      </w:pPr>
      <w:r>
        <w:rPr>
          <w:rFonts w:ascii="Calibri" w:cs="Calibri" w:eastAsia="Calibri" w:hAnsi="Calibri"/>
          <w:color w:val="2D3748"/>
          <w:sz w:val="22"/>
          <w:szCs w:val="22"/>
        </w:rPr>
        <w:t xml:space="preserve">Completion trigger: Learner completes knowledge check with score ≥80%</w:t>
      </w:r>
    </w:p>
    <w:p>
      <w:pPr>
        <w:pStyle w:val="ListParagraph"/>
        <w:numPr>
          <w:ilvl w:val="0"/>
          <w:numId w:val="2"/>
        </w:numPr>
        <w:spacing w:after="80" w:before="0"/>
      </w:pPr>
      <w:r>
        <w:rPr>
          <w:rFonts w:ascii="Calibri" w:cs="Calibri" w:eastAsia="Calibri" w:hAnsi="Calibri"/>
          <w:color w:val="2D3748"/>
          <w:sz w:val="22"/>
          <w:szCs w:val="22"/>
        </w:rPr>
        <w:t xml:space="preserve">Reporting: Score (percentage), completion status (Passed/Failed/Incomplete), time-on-task</w:t>
      </w:r>
    </w:p>
    <w:p>
      <w:pPr>
        <w:pStyle w:val="ListParagraph"/>
        <w:numPr>
          <w:ilvl w:val="0"/>
          <w:numId w:val="2"/>
        </w:numPr>
        <w:spacing w:after="80" w:before="0"/>
      </w:pPr>
      <w:r>
        <w:rPr>
          <w:rFonts w:ascii="Calibri" w:cs="Calibri" w:eastAsia="Calibri" w:hAnsi="Calibri"/>
          <w:color w:val="2D3748"/>
          <w:sz w:val="22"/>
          <w:szCs w:val="22"/>
        </w:rPr>
        <w:t xml:space="preserve">QA: Test in LMS staging environment before production deployment; test across Chrome, Edge, and Safari</w:t>
      </w:r>
    </w:p>
    <w:p>
      <w:pPr>
        <w:spacing w:after="0" w:before="160"/>
      </w:pPr>
      <w:r>
        <w:rPr>
          <w:sz w:val="2"/>
          <w:szCs w:val="2"/>
        </w:rPr>
        <w:t xml:space="preserve"/>
      </w:r>
    </w:p>
    <w:p>
      <w:pPr>
        <w:pBdr>
          <w:top w:val="single" w:color="E2E8F0" w:sz="4" w:space="8"/>
        </w:pBdr>
        <w:spacing w:after="120" w:before="200"/>
      </w:pPr>
      <w:r>
        <w:rPr>
          <w:rFonts w:ascii="Calibri" w:cs="Calibri" w:eastAsia="Calibri" w:hAnsi="Calibri"/>
          <w:b/>
          <w:bCs/>
          <w:color w:val="1B2A4A"/>
          <w:sz w:val="20"/>
          <w:szCs w:val="20"/>
        </w:rPr>
        <w:t xml:space="preserve">Document Status: </w:t>
      </w:r>
      <w:r>
        <w:rPr>
          <w:rFonts w:ascii="Calibri" w:cs="Calibri" w:eastAsia="Calibri" w:hAnsi="Calibri"/>
          <w:color w:val="2D3748"/>
          <w:sz w:val="20"/>
          <w:szCs w:val="20"/>
        </w:rPr>
        <w:t xml:space="preserve">Ready for SME Review. Next step: Submit to Compliance Officer for content accuracy validation.</w:t>
      </w:r>
    </w:p>
    <w:p>
      <w:pPr>
        <w:spacing w:after="0" w:before="0"/>
      </w:pPr>
      <w:r>
        <w:rPr>
          <w:rFonts w:ascii="Calibri" w:cs="Calibri" w:eastAsia="Calibri" w:hAnsi="Calibri"/>
          <w:color w:val="64748B"/>
          <w:sz w:val="20"/>
          <w:szCs w:val="20"/>
        </w:rPr>
        <w:t xml:space="preserve">Questions or feedback? Contact: </w:t>
      </w:r>
      <w:r>
        <w:rPr>
          <w:rFonts w:ascii="Calibri" w:cs="Calibri" w:eastAsia="Calibri" w:hAnsi="Calibri"/>
          <w:b/>
          <w:bCs/>
          <w:color w:val="1B2A4A"/>
          <w:sz w:val="20"/>
          <w:szCs w:val="20"/>
        </w:rPr>
        <w:t xml:space="preserve">adam.leibler@gmail.com</w:t>
      </w:r>
    </w:p>
    <w:sectPr>
      <w:headerReference w:type="default" r:id="rId9"/>
      <w:footerReference w:type="default" r:id="rId10"/>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space="4"/>
      </w:pBdr>
      <w:tabs>
        <w:tab w:val="right" w:pos="9000"/>
      </w:tabs>
      <w:spacing w:after="0" w:before="100"/>
    </w:pPr>
    <w:r>
      <w:rPr>
        <w:rFonts w:ascii="Calibri" w:cs="Calibri" w:eastAsia="Calibri" w:hAnsi="Calibri"/>
        <w:color w:val="64748B"/>
        <w:sz w:val="18"/>
        <w:szCs w:val="18"/>
      </w:rPr>
      <w:t xml:space="preserve">© 2026 Adam Leibler  |  Instructional Design Portfolio</w:t>
    </w:r>
    <w:r>
      <w:rPr>
        <w:sz w:val="18"/>
        <w:szCs w:val="18"/>
      </w:rPr>
      <w:t xml:space="preserve">	</w:t>
    </w:r>
    <w:r>
      <w:rPr>
        <w:rFonts w:ascii="Calibri" w:cs="Calibri" w:eastAsia="Calibri" w:hAnsi="Calibri"/>
        <w:color w:val="64748B"/>
        <w:sz w:val="18"/>
        <w:szCs w:val="18"/>
      </w:rPr>
      <w:t xml:space="preserve">Page </w:t>
    </w:r>
    <w:r>
      <w:rPr>
        <w:rFonts w:ascii="Calibri" w:cs="Calibri" w:eastAsia="Calibri" w:hAnsi="Calibri"/>
        <w:color w:val="64748B"/>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4" w:space="4"/>
      </w:pBdr>
      <w:tabs>
        <w:tab w:val="right" w:pos="9000"/>
      </w:tabs>
      <w:spacing w:after="100" w:before="0"/>
    </w:pPr>
    <w:r>
      <w:rPr>
        <w:rFonts w:ascii="Calibri" w:cs="Calibri" w:eastAsia="Calibri" w:hAnsi="Calibri"/>
        <w:color w:val="64748B"/>
        <w:sz w:val="18"/>
        <w:szCs w:val="18"/>
      </w:rPr>
      <w:t xml:space="preserve">Data Privacy in the Financial Industry  —  Course Design Document</w:t>
    </w:r>
    <w:r>
      <w:rPr>
        <w:sz w:val="18"/>
        <w:szCs w:val="18"/>
      </w:rPr>
      <w:t xml:space="preserve">	</w:t>
    </w:r>
    <w:r>
      <w:rPr>
        <w:rFonts w:ascii="Calibri" w:cs="Calibri" w:eastAsia="Calibri" w:hAnsi="Calibri"/>
        <w:b/>
        <w:bCs/>
        <w:color w:val="C9A84C"/>
        <w:sz w:val="18"/>
        <w:szCs w:val="18"/>
      </w:rPr>
      <w:t xml:space="preserve">PORTFOLIO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lvl w:ilvl="1" w15:tentative="1">
      <w:start w:val="1"/>
      <w:numFmt w:val="bullet"/>
      <w:lvlText w:val="◦"/>
      <w:lvlJc w:val="left"/>
      <w:pPr>
        <w:ind w:left="1120" w:hanging="280"/>
      </w:pPr>
    </w:lvl>
  </w:abstractNum>
  <w:abstractNum w:abstractNumId="3" w15:restartNumberingAfterBreak="0">
    <w:multiLevelType w:val="hybridMultilevel"/>
    <w:lvl w:ilvl="0" w15:tentative="1">
      <w:start w:val="1"/>
      <w:numFmt w:val="decimal"/>
      <w:lvlText w:val="%1."/>
      <w:lvlJc w:val="left"/>
      <w:pPr>
        <w:ind w:left="560" w:hanging="280"/>
      </w:pPr>
    </w:lvl>
    <w:lvl w:ilvl="1" w15:tentative="1">
      <w:start w:val="1"/>
      <w:numFmt w:val="lowerLetter"/>
      <w:lvlText w:val="%2."/>
      <w:lvlJc w:val="left"/>
      <w:pPr>
        <w:ind w:left="112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B2A4A"/>
      <w:sz w:val="34"/>
      <w:szCs w:val="34"/>
    </w:rPr>
  </w:style>
  <w:style w:type="paragraph" w:styleId="Heading2">
    <w:name w:val="Heading 2"/>
    <w:basedOn w:val="Normal"/>
    <w:next w:val="Normal"/>
    <w:qFormat/>
    <w:pPr>
      <w:spacing w:after="140" w:before="280"/>
      <w:outlineLvl w:val="1"/>
    </w:pPr>
    <w:rPr>
      <w:rFonts w:ascii="Calibri" w:cs="Calibri" w:eastAsia="Calibri" w:hAnsi="Calibri"/>
      <w:b/>
      <w:bCs/>
      <w:color w:val="1B2A4A"/>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64748B"/>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2026-03-18T22:17:14.516Z</dcterms:created>
  <dcterms:modified xsi:type="dcterms:W3CDTF">2026-03-18T22:17:14.516Z</dcterms:modified>
</cp:coreProperties>
</file>

<file path=docProps/custom.xml><?xml version="1.0" encoding="utf-8"?>
<Properties xmlns="http://schemas.openxmlformats.org/officeDocument/2006/custom-properties" xmlns:vt="http://schemas.openxmlformats.org/officeDocument/2006/docPropsVTypes"/>
</file>